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E5A" w:rsidRDefault="00BE6E5A" w:rsidP="00BE6E5A">
      <w:pPr>
        <w:pStyle w:val="Orador"/>
        <w:jc w:val="center"/>
        <w:rPr>
          <w:b/>
          <w:bCs/>
          <w:color w:val="800000"/>
          <w:w w:val="200"/>
          <w:sz w:val="18"/>
          <w:szCs w:val="18"/>
        </w:rPr>
      </w:pPr>
      <w:r>
        <w:rPr>
          <w:b/>
          <w:bCs/>
          <w:color w:val="800000"/>
          <w:w w:val="200"/>
          <w:sz w:val="18"/>
          <w:szCs w:val="18"/>
        </w:rPr>
        <w:t>Questão de Ordem nº 329</w:t>
      </w:r>
    </w:p>
    <w:p w:rsidR="00BE6E5A" w:rsidRDefault="00BE6E5A" w:rsidP="00BE6E5A">
      <w:pPr>
        <w:pStyle w:val="Orador"/>
        <w:jc w:val="center"/>
        <w:rPr>
          <w:b/>
          <w:bCs/>
          <w:color w:val="0000FF"/>
          <w:w w:val="200"/>
          <w:sz w:val="18"/>
          <w:szCs w:val="18"/>
        </w:rPr>
      </w:pPr>
      <w:r>
        <w:rPr>
          <w:b/>
          <w:bCs/>
          <w:color w:val="800000"/>
          <w:w w:val="200"/>
          <w:sz w:val="18"/>
          <w:szCs w:val="18"/>
        </w:rPr>
        <w:t>Autor:</w:t>
      </w:r>
      <w:proofErr w:type="gramStart"/>
      <w:r>
        <w:rPr>
          <w:b/>
          <w:bCs/>
          <w:color w:val="0000FF"/>
          <w:w w:val="200"/>
          <w:sz w:val="18"/>
          <w:szCs w:val="18"/>
        </w:rPr>
        <w:t xml:space="preserve">  </w:t>
      </w:r>
      <w:proofErr w:type="gramEnd"/>
      <w:r>
        <w:rPr>
          <w:b/>
          <w:bCs/>
          <w:color w:val="0000FF"/>
          <w:w w:val="200"/>
          <w:sz w:val="18"/>
          <w:szCs w:val="18"/>
        </w:rPr>
        <w:t xml:space="preserve">ALENCAR SANTANA BRAGA </w:t>
      </w:r>
    </w:p>
    <w:p w:rsidR="00BE6E5A" w:rsidRDefault="00BE6E5A" w:rsidP="00BE6E5A">
      <w:pPr>
        <w:rPr>
          <w:b/>
          <w:bCs/>
          <w:color w:val="0000FF"/>
          <w:w w:val="200"/>
          <w:sz w:val="18"/>
          <w:szCs w:val="18"/>
        </w:rPr>
      </w:pPr>
      <w:r>
        <w:rPr>
          <w:b/>
          <w:bCs/>
          <w:color w:val="0000FF"/>
          <w:w w:val="200"/>
          <w:sz w:val="18"/>
          <w:szCs w:val="18"/>
        </w:rPr>
        <w:t xml:space="preserve">                     </w:t>
      </w:r>
      <w:r>
        <w:rPr>
          <w:b/>
          <w:bCs/>
          <w:color w:val="993300"/>
          <w:w w:val="200"/>
          <w:sz w:val="18"/>
          <w:szCs w:val="18"/>
        </w:rPr>
        <w:t>164ª Sessão Ordinária –</w:t>
      </w:r>
      <w:r>
        <w:rPr>
          <w:b/>
          <w:bCs/>
          <w:color w:val="800000"/>
          <w:w w:val="200"/>
          <w:sz w:val="18"/>
          <w:szCs w:val="18"/>
        </w:rPr>
        <w:t xml:space="preserve"> </w:t>
      </w:r>
      <w:r>
        <w:rPr>
          <w:b/>
          <w:bCs/>
          <w:color w:val="0000FF"/>
          <w:w w:val="200"/>
          <w:sz w:val="18"/>
          <w:szCs w:val="18"/>
        </w:rPr>
        <w:t>07/11/2017</w:t>
      </w:r>
    </w:p>
    <w:p w:rsidR="00BE6E5A" w:rsidRDefault="00BE6E5A" w:rsidP="00BE6E5A">
      <w:pPr>
        <w:jc w:val="center"/>
        <w:rPr>
          <w:rFonts w:ascii="Times New Roman" w:hAnsi="Times New Roman"/>
        </w:rPr>
      </w:pPr>
      <w:r>
        <w:rPr>
          <w:rFonts w:ascii="Times New Roman" w:hAnsi="Times New Roman"/>
        </w:rPr>
        <w:t xml:space="preserve">Publicada em </w:t>
      </w:r>
      <w:r w:rsidR="00A71A9F">
        <w:rPr>
          <w:rFonts w:ascii="Times New Roman" w:hAnsi="Times New Roman"/>
        </w:rPr>
        <w:t>15</w:t>
      </w:r>
      <w:r>
        <w:rPr>
          <w:rFonts w:ascii="Times New Roman" w:hAnsi="Times New Roman"/>
        </w:rPr>
        <w:t xml:space="preserve">/11/2017, pág. </w:t>
      </w:r>
      <w:r w:rsidR="00A71A9F">
        <w:rPr>
          <w:rFonts w:ascii="Times New Roman" w:hAnsi="Times New Roman"/>
        </w:rPr>
        <w:t>31</w:t>
      </w:r>
      <w:r>
        <w:rPr>
          <w:rFonts w:ascii="Times New Roman" w:hAnsi="Times New Roman"/>
        </w:rPr>
        <w:t>, cols.</w:t>
      </w:r>
      <w:r w:rsidR="00A71A9F">
        <w:rPr>
          <w:rFonts w:ascii="Times New Roman" w:hAnsi="Times New Roman"/>
        </w:rPr>
        <w:t xml:space="preserve">3 e 4 e pág. 32, cols. 1 e </w:t>
      </w:r>
      <w:proofErr w:type="gramStart"/>
      <w:r w:rsidR="00A71A9F">
        <w:rPr>
          <w:rFonts w:ascii="Times New Roman" w:hAnsi="Times New Roman"/>
        </w:rPr>
        <w:t>2</w:t>
      </w:r>
      <w:proofErr w:type="gramEnd"/>
      <w:r w:rsidR="00A71A9F">
        <w:rPr>
          <w:rFonts w:ascii="Times New Roman" w:hAnsi="Times New Roman"/>
        </w:rPr>
        <w:t xml:space="preserve"> </w:t>
      </w:r>
      <w:r>
        <w:rPr>
          <w:rFonts w:ascii="Times New Roman" w:hAnsi="Times New Roman"/>
        </w:rPr>
        <w:t xml:space="preserve"> </w:t>
      </w:r>
    </w:p>
    <w:p w:rsidR="00A71A9F" w:rsidRDefault="00A71A9F" w:rsidP="00BE6E5A">
      <w:pPr>
        <w:jc w:val="center"/>
        <w:rPr>
          <w:rFonts w:ascii="Times New Roman" w:hAnsi="Times New Roman"/>
        </w:rPr>
      </w:pP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b/>
          <w:sz w:val="24"/>
          <w:szCs w:val="24"/>
          <w:lang w:eastAsia="pt-BR"/>
        </w:rPr>
        <w:t>O SR. ALENCAR SANTANA BRAGA - PT -</w:t>
      </w:r>
      <w:r w:rsidRPr="00A71A9F">
        <w:rPr>
          <w:rFonts w:ascii="Times New Roman" w:eastAsia="Times New Roman" w:hAnsi="Times New Roman"/>
          <w:sz w:val="24"/>
          <w:szCs w:val="24"/>
          <w:lang w:eastAsia="pt-BR"/>
        </w:rPr>
        <w:t xml:space="preserve"> PARA QUESTÃO DE ORDEM - Primeiro quero cumprimentar o deputado </w:t>
      </w:r>
      <w:proofErr w:type="spellStart"/>
      <w:r w:rsidRPr="00A71A9F">
        <w:rPr>
          <w:rFonts w:ascii="Times New Roman" w:eastAsia="Times New Roman" w:hAnsi="Times New Roman"/>
          <w:sz w:val="24"/>
          <w:szCs w:val="24"/>
          <w:lang w:eastAsia="pt-BR"/>
        </w:rPr>
        <w:t>Gilmaci</w:t>
      </w:r>
      <w:proofErr w:type="spellEnd"/>
      <w:r w:rsidRPr="00A71A9F">
        <w:rPr>
          <w:rFonts w:ascii="Times New Roman" w:eastAsia="Times New Roman" w:hAnsi="Times New Roman"/>
          <w:sz w:val="24"/>
          <w:szCs w:val="24"/>
          <w:lang w:eastAsia="pt-BR"/>
        </w:rPr>
        <w:t xml:space="preserve"> Santos pela declaração. Se o governo está tratando vocês - que são da base - assim, </w:t>
      </w:r>
      <w:proofErr w:type="gramStart"/>
      <w:r w:rsidRPr="00A71A9F">
        <w:rPr>
          <w:rFonts w:ascii="Times New Roman" w:eastAsia="Times New Roman" w:hAnsi="Times New Roman"/>
          <w:sz w:val="24"/>
          <w:szCs w:val="24"/>
          <w:lang w:eastAsia="pt-BR"/>
        </w:rPr>
        <w:t>imagine</w:t>
      </w:r>
      <w:proofErr w:type="gramEnd"/>
      <w:r w:rsidRPr="00A71A9F">
        <w:rPr>
          <w:rFonts w:ascii="Times New Roman" w:eastAsia="Times New Roman" w:hAnsi="Times New Roman"/>
          <w:sz w:val="24"/>
          <w:szCs w:val="24"/>
          <w:lang w:eastAsia="pt-BR"/>
        </w:rPr>
        <w:t xml:space="preserve"> nós da oposição. Nem o telefone eles nos deixam. Quero parabenizar pela iniciativa.</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proofErr w:type="gramStart"/>
      <w:r w:rsidRPr="00A71A9F">
        <w:rPr>
          <w:rFonts w:ascii="Times New Roman" w:eastAsia="Times New Roman" w:hAnsi="Times New Roman"/>
          <w:sz w:val="24"/>
          <w:szCs w:val="24"/>
          <w:lang w:eastAsia="pt-BR"/>
        </w:rPr>
        <w:t>Sra.</w:t>
      </w:r>
      <w:proofErr w:type="gramEnd"/>
      <w:r w:rsidRPr="00A71A9F">
        <w:rPr>
          <w:rFonts w:ascii="Times New Roman" w:eastAsia="Times New Roman" w:hAnsi="Times New Roman"/>
          <w:sz w:val="24"/>
          <w:szCs w:val="24"/>
          <w:lang w:eastAsia="pt-BR"/>
        </w:rPr>
        <w:t xml:space="preserve"> Presidente, está na Constituição do Estado que qualquer parlamentar pode fazer requerimento de informação e que o governo tem um prazo para responder, tem a obrigação de responder esse requerimento. Pode pedir a prorrogação, mas não pode ficar sem resposta. Fizemos um requerimento em setembro, em nome da bancada do PT, requerendo informações sobre as isenções fiscais do governo Alckmin. </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 xml:space="preserve">Era um requerimento ao secretário de Finanças: quanto que tem de isenção, o valor, qual é o beneficiado, justificativa. Não tivemos respostas. Provavelmente a Assembleia vai reiterar esse pedido. E o que é pior, </w:t>
      </w:r>
      <w:proofErr w:type="gramStart"/>
      <w:r w:rsidRPr="00A71A9F">
        <w:rPr>
          <w:rFonts w:ascii="Times New Roman" w:eastAsia="Times New Roman" w:hAnsi="Times New Roman"/>
          <w:sz w:val="24"/>
          <w:szCs w:val="24"/>
          <w:lang w:eastAsia="pt-BR"/>
        </w:rPr>
        <w:t>Sra.</w:t>
      </w:r>
      <w:proofErr w:type="gramEnd"/>
      <w:r w:rsidRPr="00A71A9F">
        <w:rPr>
          <w:rFonts w:ascii="Times New Roman" w:eastAsia="Times New Roman" w:hAnsi="Times New Roman"/>
          <w:sz w:val="24"/>
          <w:szCs w:val="24"/>
          <w:lang w:eastAsia="pt-BR"/>
        </w:rPr>
        <w:t xml:space="preserve"> Presidente: não houve o pedido de prorrogação por parte do governo. Provavelmente a Assembleia vai reiterar - o que é de praxe - esse pedido. </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 xml:space="preserve">Saiu ontem uma matéria em que o Tribunal de Contas do Estado afirma que as contas do governador Alckmin em relação à política de isenção fiscal, ao montante de isenção concedida por setor, por empresa, não têm qualquer transparência, seriam uma caixa fechada a sete chaves. </w:t>
      </w:r>
    </w:p>
    <w:p w:rsidR="00A71A9F" w:rsidRPr="00A71A9F" w:rsidRDefault="00A71A9F" w:rsidP="00A71A9F">
      <w:pPr>
        <w:spacing w:after="0" w:line="360" w:lineRule="auto"/>
        <w:ind w:firstLine="567"/>
        <w:jc w:val="both"/>
        <w:rPr>
          <w:rFonts w:ascii="Times New Roman" w:hAnsi="Times New Roman"/>
          <w:sz w:val="24"/>
          <w:szCs w:val="24"/>
        </w:rPr>
      </w:pPr>
      <w:r w:rsidRPr="00A71A9F">
        <w:rPr>
          <w:rFonts w:ascii="Times New Roman" w:hAnsi="Times New Roman"/>
          <w:sz w:val="24"/>
          <w:szCs w:val="24"/>
        </w:rPr>
        <w:t xml:space="preserve">Ora, qual o problema disso? As contas foram aprovadas com ressalva, dentre elas essa ressalva. O outro problema que temos é que as contas estão sob a análise da Comissão de Finanças e Orçamento da Assembleia Legislativa. Os membros que lá estão funcionam como julgadores, eles vão julgar as contas do governador, se estão corretas ou se estão erradas. </w:t>
      </w:r>
    </w:p>
    <w:p w:rsidR="00A71A9F" w:rsidRPr="00A71A9F" w:rsidRDefault="00A71A9F" w:rsidP="00A71A9F">
      <w:pPr>
        <w:spacing w:after="0" w:line="360" w:lineRule="auto"/>
        <w:ind w:firstLine="567"/>
        <w:jc w:val="both"/>
        <w:rPr>
          <w:rFonts w:ascii="Times New Roman" w:hAnsi="Times New Roman"/>
          <w:sz w:val="24"/>
          <w:szCs w:val="24"/>
        </w:rPr>
      </w:pPr>
      <w:r w:rsidRPr="00A71A9F">
        <w:rPr>
          <w:rFonts w:ascii="Times New Roman" w:hAnsi="Times New Roman"/>
          <w:sz w:val="24"/>
          <w:szCs w:val="24"/>
        </w:rPr>
        <w:t xml:space="preserve">Agora eu pergunto: se o Tribunal de Contas diz que essas contas são obscuras - palavras do tribunal -, se elas seriam uma caixa-preta - acho que este não é o termo adequado a ser utilizado, mas está na matéria </w:t>
      </w:r>
      <w:proofErr w:type="gramStart"/>
      <w:r w:rsidRPr="00A71A9F">
        <w:rPr>
          <w:rFonts w:ascii="Times New Roman" w:hAnsi="Times New Roman"/>
          <w:sz w:val="24"/>
          <w:szCs w:val="24"/>
        </w:rPr>
        <w:t>- ,</w:t>
      </w:r>
      <w:proofErr w:type="gramEnd"/>
      <w:r w:rsidRPr="00A71A9F">
        <w:rPr>
          <w:rFonts w:ascii="Times New Roman" w:hAnsi="Times New Roman"/>
          <w:sz w:val="24"/>
          <w:szCs w:val="24"/>
        </w:rPr>
        <w:t xml:space="preserve"> e se nós requeremos informações e o governo não responde, de que maneira os membros que lá estão terão condições de julgamento? De maneira nenhuma.</w:t>
      </w:r>
    </w:p>
    <w:p w:rsidR="00A71A9F" w:rsidRPr="00A71A9F" w:rsidRDefault="00A71A9F" w:rsidP="00A71A9F">
      <w:pPr>
        <w:spacing w:after="0" w:line="360" w:lineRule="auto"/>
        <w:ind w:firstLine="567"/>
        <w:jc w:val="both"/>
        <w:rPr>
          <w:rFonts w:ascii="Times New Roman" w:hAnsi="Times New Roman"/>
          <w:sz w:val="24"/>
          <w:szCs w:val="24"/>
        </w:rPr>
      </w:pPr>
      <w:r w:rsidRPr="00A71A9F">
        <w:rPr>
          <w:rFonts w:ascii="Times New Roman" w:hAnsi="Times New Roman"/>
          <w:sz w:val="24"/>
          <w:szCs w:val="24"/>
        </w:rPr>
        <w:lastRenderedPageBreak/>
        <w:t xml:space="preserve">O que nós pedimos nesta questão de ordem, diante da não resposta por parte do governo, diante de o Tribunal considerar as contas obscuras, diante da situação dos membros para julgar as contas, é que seja suspenso o trâmite das contas do governador na Comissão de Finanças e Orçamento enquanto não vier </w:t>
      </w:r>
      <w:proofErr w:type="gramStart"/>
      <w:r w:rsidRPr="00A71A9F">
        <w:rPr>
          <w:rFonts w:ascii="Times New Roman" w:hAnsi="Times New Roman"/>
          <w:sz w:val="24"/>
          <w:szCs w:val="24"/>
        </w:rPr>
        <w:t>a</w:t>
      </w:r>
      <w:proofErr w:type="gramEnd"/>
      <w:r w:rsidRPr="00A71A9F">
        <w:rPr>
          <w:rFonts w:ascii="Times New Roman" w:hAnsi="Times New Roman"/>
          <w:sz w:val="24"/>
          <w:szCs w:val="24"/>
        </w:rPr>
        <w:t xml:space="preserve"> resposta por parte do Executivo à Assembleia Legislativa.</w:t>
      </w:r>
    </w:p>
    <w:p w:rsidR="00A71A9F" w:rsidRPr="00A71A9F" w:rsidRDefault="00A71A9F" w:rsidP="00A71A9F">
      <w:pPr>
        <w:spacing w:after="0" w:line="360" w:lineRule="auto"/>
        <w:ind w:firstLine="567"/>
        <w:jc w:val="both"/>
        <w:rPr>
          <w:rFonts w:ascii="Times New Roman" w:hAnsi="Times New Roman"/>
          <w:sz w:val="24"/>
          <w:szCs w:val="24"/>
        </w:rPr>
      </w:pPr>
      <w:r w:rsidRPr="00A71A9F">
        <w:rPr>
          <w:rFonts w:ascii="Times New Roman" w:hAnsi="Times New Roman"/>
          <w:sz w:val="24"/>
          <w:szCs w:val="24"/>
        </w:rPr>
        <w:t>A Assembleia Legislativa tem o direito e a obrigação de conhecer para poder julgar. Nós elencamos o descumprimento de um conjunto de preceitos nesse sentido, que impedem o julgamento das contas do governador. Se a Assembleia Legislativa julgar de olhos fechados, submetida à vontade do governador, será uma grande vergonha para esse Parlamento, que mais uma vez se rebaixará aos ditames e às vontades do governador Geraldo Alckmin.</w:t>
      </w:r>
    </w:p>
    <w:p w:rsidR="00A71A9F" w:rsidRPr="00A71A9F" w:rsidRDefault="00A71A9F" w:rsidP="00A71A9F">
      <w:pPr>
        <w:spacing w:after="0" w:line="360" w:lineRule="auto"/>
        <w:ind w:firstLine="567"/>
        <w:jc w:val="both"/>
        <w:rPr>
          <w:rFonts w:ascii="Times New Roman" w:hAnsi="Times New Roman"/>
          <w:sz w:val="24"/>
          <w:szCs w:val="24"/>
        </w:rPr>
      </w:pPr>
      <w:proofErr w:type="gramStart"/>
      <w:r w:rsidRPr="00A71A9F">
        <w:rPr>
          <w:rFonts w:ascii="Times New Roman" w:hAnsi="Times New Roman"/>
          <w:sz w:val="24"/>
          <w:szCs w:val="24"/>
        </w:rPr>
        <w:t>Sra.</w:t>
      </w:r>
      <w:proofErr w:type="gramEnd"/>
      <w:r w:rsidRPr="00A71A9F">
        <w:rPr>
          <w:rFonts w:ascii="Times New Roman" w:hAnsi="Times New Roman"/>
          <w:sz w:val="24"/>
          <w:szCs w:val="24"/>
        </w:rPr>
        <w:t xml:space="preserve"> Presidente, eis a questão de ordem:</w:t>
      </w:r>
    </w:p>
    <w:p w:rsidR="00A71A9F" w:rsidRPr="00A71A9F" w:rsidRDefault="00A71A9F" w:rsidP="00A71A9F">
      <w:pPr>
        <w:spacing w:after="0" w:line="360" w:lineRule="auto"/>
        <w:ind w:firstLine="567"/>
        <w:jc w:val="both"/>
        <w:rPr>
          <w:rFonts w:ascii="Times New Roman" w:eastAsia="Times New Roman" w:hAnsi="Times New Roman"/>
          <w:bCs/>
          <w:caps/>
          <w:sz w:val="24"/>
          <w:szCs w:val="24"/>
          <w:lang w:eastAsia="pt-BR"/>
        </w:rPr>
      </w:pPr>
      <w:proofErr w:type="gramStart"/>
      <w:r w:rsidRPr="00A71A9F">
        <w:rPr>
          <w:rFonts w:ascii="Times New Roman" w:eastAsia="Times New Roman" w:hAnsi="Times New Roman"/>
          <w:bCs/>
          <w:caps/>
          <w:sz w:val="24"/>
          <w:szCs w:val="24"/>
          <w:lang w:eastAsia="pt-BR"/>
        </w:rPr>
        <w:t>“</w:t>
      </w:r>
      <w:r w:rsidRPr="00A71A9F">
        <w:rPr>
          <w:rFonts w:ascii="Times New Roman" w:eastAsia="Times New Roman" w:hAnsi="Times New Roman"/>
          <w:bCs/>
          <w:sz w:val="24"/>
          <w:szCs w:val="24"/>
          <w:lang w:eastAsia="pt-BR"/>
        </w:rPr>
        <w:t>Questão de Ordem</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proofErr w:type="gramEnd"/>
      <w:r w:rsidRPr="00A71A9F">
        <w:rPr>
          <w:rFonts w:ascii="Times New Roman" w:eastAsia="Times New Roman" w:hAnsi="Times New Roman"/>
          <w:sz w:val="24"/>
          <w:szCs w:val="24"/>
          <w:lang w:eastAsia="pt-BR"/>
        </w:rPr>
        <w:t>Senhor Presidente, formulo a presente questão de ordem, com a finalidade de obter de Vossa Excelência esclarecimentos acerca da aplicação do disposto no artigo 135, I do Regimento Interno no tocante ao RGL 2616/16 que tem por objeto o Balanço Geral do Estado referente ao exercício de 2016.</w:t>
      </w:r>
      <w:r w:rsidRPr="00A71A9F">
        <w:rPr>
          <w:rFonts w:ascii="Times New Roman" w:eastAsia="Times New Roman" w:hAnsi="Times New Roman"/>
          <w:i/>
          <w:spacing w:val="10"/>
          <w:sz w:val="24"/>
          <w:szCs w:val="24"/>
          <w:lang w:eastAsia="pt-BR"/>
        </w:rPr>
        <w:t xml:space="preserve"> </w:t>
      </w:r>
    </w:p>
    <w:p w:rsidR="00A71A9F" w:rsidRPr="00A71A9F" w:rsidRDefault="00A71A9F" w:rsidP="00A71A9F">
      <w:pPr>
        <w:tabs>
          <w:tab w:val="left" w:pos="70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 xml:space="preserve">O Regimento Interno estabelece em seu artigo 135 as situações que impedem a admissão das proposições. </w:t>
      </w:r>
    </w:p>
    <w:p w:rsidR="00A71A9F" w:rsidRPr="00A71A9F" w:rsidRDefault="00A71A9F" w:rsidP="00A71A9F">
      <w:pPr>
        <w:tabs>
          <w:tab w:val="left" w:pos="70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 xml:space="preserve">A proposição manifestamente inconstitucional é uma das hipóteses que ensejam a sua inadmissibilidade. </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color w:val="000000"/>
          <w:sz w:val="24"/>
          <w:szCs w:val="24"/>
          <w:lang w:eastAsia="pt-BR"/>
        </w:rPr>
        <w:t xml:space="preserve">Na 1ª Sessão Extraordinária do Tribunal Pleno, realizada aos 21 de junho de 2017, o Tribunal de Contas do Estado de São Paulo, </w:t>
      </w:r>
      <w:r w:rsidRPr="00A71A9F">
        <w:rPr>
          <w:rFonts w:ascii="Times New Roman" w:eastAsia="Times New Roman" w:hAnsi="Times New Roman"/>
          <w:sz w:val="24"/>
          <w:szCs w:val="24"/>
          <w:lang w:eastAsia="pt-BR"/>
        </w:rPr>
        <w:t xml:space="preserve">no processo TC - 5198/989/16, excetuados os atos pendentes de exame ou julgamento por este Tribunal, resolveu, por unanimidade dos votos, emitir parecer favorável à aprovação das Contas do Governador do Estado de São Paulo, relativas ao exercício de 2016, consignando alerta, ressalvas e recomendações contidas no voto proferido pelo Relator, Conselheiro Antonio Roque </w:t>
      </w:r>
      <w:proofErr w:type="spellStart"/>
      <w:r w:rsidRPr="00A71A9F">
        <w:rPr>
          <w:rFonts w:ascii="Times New Roman" w:eastAsia="Times New Roman" w:hAnsi="Times New Roman"/>
          <w:sz w:val="24"/>
          <w:szCs w:val="24"/>
          <w:lang w:eastAsia="pt-BR"/>
        </w:rPr>
        <w:t>Citadini</w:t>
      </w:r>
      <w:proofErr w:type="spellEnd"/>
      <w:r w:rsidRPr="00A71A9F">
        <w:rPr>
          <w:rFonts w:ascii="Times New Roman" w:eastAsia="Times New Roman" w:hAnsi="Times New Roman"/>
          <w:sz w:val="24"/>
          <w:szCs w:val="24"/>
          <w:lang w:eastAsia="pt-BR"/>
        </w:rPr>
        <w:t xml:space="preserve">, dentre outras, destacamos a ressalva consignada no item </w:t>
      </w:r>
      <w:proofErr w:type="gramStart"/>
      <w:r w:rsidRPr="00A71A9F">
        <w:rPr>
          <w:rFonts w:ascii="Times New Roman" w:eastAsia="Times New Roman" w:hAnsi="Times New Roman"/>
          <w:sz w:val="24"/>
          <w:szCs w:val="24"/>
          <w:lang w:eastAsia="pt-BR"/>
        </w:rPr>
        <w:t>II.</w:t>
      </w:r>
      <w:proofErr w:type="gramEnd"/>
      <w:r w:rsidRPr="00A71A9F">
        <w:rPr>
          <w:rFonts w:ascii="Times New Roman" w:eastAsia="Times New Roman" w:hAnsi="Times New Roman"/>
          <w:sz w:val="24"/>
          <w:szCs w:val="24"/>
          <w:lang w:eastAsia="pt-BR"/>
        </w:rPr>
        <w:t>2 dispõe acerca da necessidade de que na “concessão ou ampliação de incentivo ou benefício de natureza tributária da qual decorra renúncia de receita, o Governo deverá atender o quanto determina o artigo 14 da lei de responsabilidade fiscal, comprovando, sempre, a estimativa do impacto orçamentário-financeiro no exercício em que o benefício fiscal iniciar sua vigência e também nos dois seguintes, conforme ali prescrito”.</w:t>
      </w:r>
    </w:p>
    <w:p w:rsidR="00A71A9F" w:rsidRPr="00A71A9F" w:rsidRDefault="00A71A9F" w:rsidP="00A71A9F">
      <w:pPr>
        <w:shd w:val="clear" w:color="auto" w:fill="FFFFFF"/>
        <w:spacing w:after="0" w:line="360" w:lineRule="auto"/>
        <w:ind w:firstLine="567"/>
        <w:jc w:val="both"/>
        <w:rPr>
          <w:rFonts w:ascii="Times New Roman" w:eastAsia="Times New Roman" w:hAnsi="Times New Roman"/>
          <w:color w:val="222222"/>
          <w:sz w:val="24"/>
          <w:szCs w:val="24"/>
          <w:lang w:eastAsia="pt-BR"/>
        </w:rPr>
      </w:pPr>
      <w:r w:rsidRPr="00A71A9F">
        <w:rPr>
          <w:rFonts w:ascii="Times New Roman" w:eastAsia="Times New Roman" w:hAnsi="Times New Roman"/>
          <w:color w:val="222222"/>
          <w:sz w:val="24"/>
          <w:szCs w:val="24"/>
          <w:lang w:eastAsia="pt-BR"/>
        </w:rPr>
        <w:lastRenderedPageBreak/>
        <w:t xml:space="preserve">Em parecer exarado nos autos do TC, </w:t>
      </w:r>
      <w:proofErr w:type="gramStart"/>
      <w:r w:rsidRPr="00A71A9F">
        <w:rPr>
          <w:rFonts w:ascii="Times New Roman" w:eastAsia="Times New Roman" w:hAnsi="Times New Roman"/>
          <w:color w:val="222222"/>
          <w:sz w:val="24"/>
          <w:szCs w:val="24"/>
          <w:lang w:eastAsia="pt-BR"/>
        </w:rPr>
        <w:t>supra citado</w:t>
      </w:r>
      <w:proofErr w:type="gramEnd"/>
      <w:r w:rsidRPr="00A71A9F">
        <w:rPr>
          <w:rFonts w:ascii="Times New Roman" w:eastAsia="Times New Roman" w:hAnsi="Times New Roman"/>
          <w:color w:val="222222"/>
          <w:sz w:val="24"/>
          <w:szCs w:val="24"/>
          <w:lang w:eastAsia="pt-BR"/>
        </w:rPr>
        <w:t>, o Ministério Público de Contas asseverou que: “conforme estabelece o art. 70, </w:t>
      </w:r>
      <w:r w:rsidRPr="00A71A9F">
        <w:rPr>
          <w:rFonts w:ascii="Times New Roman" w:eastAsia="Times New Roman" w:hAnsi="Times New Roman"/>
          <w:iCs/>
          <w:color w:val="222222"/>
          <w:sz w:val="24"/>
          <w:szCs w:val="24"/>
          <w:lang w:eastAsia="pt-BR"/>
        </w:rPr>
        <w:t>caput </w:t>
      </w:r>
      <w:r w:rsidRPr="00A71A9F">
        <w:rPr>
          <w:rFonts w:ascii="Times New Roman" w:eastAsia="Times New Roman" w:hAnsi="Times New Roman"/>
          <w:color w:val="222222"/>
          <w:sz w:val="24"/>
          <w:szCs w:val="24"/>
          <w:lang w:eastAsia="pt-BR"/>
        </w:rPr>
        <w:t>da Constituição Federal (replicado no art. 32 da Constituição Paulista), a fiscalização quanto à renúncia de receitas é competência constitucional expressa dos Tribunais de Contas.</w:t>
      </w:r>
    </w:p>
    <w:p w:rsidR="00A71A9F" w:rsidRPr="00A71A9F" w:rsidRDefault="00A71A9F" w:rsidP="00A71A9F">
      <w:pPr>
        <w:shd w:val="clear" w:color="auto" w:fill="FFFFFF"/>
        <w:spacing w:after="0" w:line="360" w:lineRule="auto"/>
        <w:ind w:firstLine="567"/>
        <w:jc w:val="both"/>
        <w:rPr>
          <w:rFonts w:ascii="Times New Roman" w:eastAsia="Times New Roman" w:hAnsi="Times New Roman"/>
          <w:color w:val="222222"/>
          <w:sz w:val="24"/>
          <w:szCs w:val="24"/>
          <w:lang w:eastAsia="pt-BR"/>
        </w:rPr>
      </w:pPr>
      <w:r w:rsidRPr="00A71A9F">
        <w:rPr>
          <w:rFonts w:ascii="Times New Roman" w:eastAsia="Times New Roman" w:hAnsi="Times New Roman"/>
          <w:color w:val="222222"/>
          <w:sz w:val="24"/>
          <w:szCs w:val="24"/>
          <w:lang w:eastAsia="pt-BR"/>
        </w:rPr>
        <w:t>As renúncias de receitas, embora não representem despesas propriamente ditas, devem ser tratadas como gastos públicos, eis que utilizadas como meio de financiamento de políticas públicas e alternativa à alocação direta de recursos via orçamento público, com o intuito de alcançar objetivos econômicos, sociais ou de desenvolvimento regional, sendo crucial sua transparência, acompanhamento e avaliação.</w:t>
      </w:r>
    </w:p>
    <w:p w:rsidR="00A71A9F" w:rsidRPr="00A71A9F" w:rsidRDefault="00A71A9F" w:rsidP="00A71A9F">
      <w:pPr>
        <w:shd w:val="clear" w:color="auto" w:fill="FFFFFF"/>
        <w:spacing w:after="0" w:line="360" w:lineRule="auto"/>
        <w:ind w:firstLine="567"/>
        <w:jc w:val="both"/>
        <w:rPr>
          <w:rFonts w:ascii="Times New Roman" w:eastAsia="Times New Roman" w:hAnsi="Times New Roman"/>
          <w:color w:val="222222"/>
          <w:sz w:val="24"/>
          <w:szCs w:val="24"/>
          <w:lang w:eastAsia="pt-BR"/>
        </w:rPr>
      </w:pPr>
      <w:r w:rsidRPr="00A71A9F">
        <w:rPr>
          <w:rFonts w:ascii="Times New Roman" w:eastAsia="Times New Roman" w:hAnsi="Times New Roman"/>
          <w:color w:val="222222"/>
          <w:sz w:val="24"/>
          <w:szCs w:val="24"/>
          <w:lang w:eastAsia="pt-BR"/>
        </w:rPr>
        <w:t>A materialidade do tema é inegável: o anexo de metas fiscais da Lei de Diretrizes Orçamentárias para 2016 (“LDO 2016”, Lei Estadual 15.870, de 27.07.2015), em obediência à Lei de Responsabilidade Fiscal87, estimou que a renúncia fiscal na arrecadação do ICMS atingiria cerca de R$14,6 bilhões (ou 10,9% da arrecadação potencial), e que a renúncia fiscal do IPVA atingiria R$886 milhões (ou 5,58% da arrecadação potencial).</w:t>
      </w:r>
    </w:p>
    <w:p w:rsidR="00A71A9F" w:rsidRPr="00A71A9F" w:rsidRDefault="00A71A9F" w:rsidP="00A71A9F">
      <w:pPr>
        <w:shd w:val="clear" w:color="auto" w:fill="FFFFFF"/>
        <w:spacing w:after="0" w:line="360" w:lineRule="auto"/>
        <w:ind w:firstLine="567"/>
        <w:jc w:val="both"/>
        <w:rPr>
          <w:rFonts w:ascii="Times New Roman" w:eastAsia="Times New Roman" w:hAnsi="Times New Roman"/>
          <w:color w:val="222222"/>
          <w:sz w:val="24"/>
          <w:szCs w:val="24"/>
          <w:lang w:eastAsia="pt-BR"/>
        </w:rPr>
      </w:pPr>
      <w:r w:rsidRPr="00A71A9F">
        <w:rPr>
          <w:rFonts w:ascii="Times New Roman" w:eastAsia="Times New Roman" w:hAnsi="Times New Roman"/>
          <w:color w:val="222222"/>
          <w:sz w:val="24"/>
          <w:szCs w:val="24"/>
          <w:lang w:eastAsia="pt-BR"/>
        </w:rPr>
        <w:t xml:space="preserve">Por estas razões, o MPC propôs, em 17.11.2015 (Expediente TC- 40471/026/15), que o tema da renúncia de receitas passasse a constar como tópico da análise das Contas do Governador. No entanto, ante o adiantado da análise das contas do exercício e as complexidades envolvidas neste tipo de fiscalização (especialmente dada </w:t>
      </w:r>
      <w:proofErr w:type="gramStart"/>
      <w:r w:rsidRPr="00A71A9F">
        <w:rPr>
          <w:rFonts w:ascii="Times New Roman" w:eastAsia="Times New Roman" w:hAnsi="Times New Roman"/>
          <w:color w:val="222222"/>
          <w:sz w:val="24"/>
          <w:szCs w:val="24"/>
          <w:lang w:eastAsia="pt-BR"/>
        </w:rPr>
        <w:t>a</w:t>
      </w:r>
      <w:proofErr w:type="gramEnd"/>
      <w:r w:rsidRPr="00A71A9F">
        <w:rPr>
          <w:rFonts w:ascii="Times New Roman" w:eastAsia="Times New Roman" w:hAnsi="Times New Roman"/>
          <w:color w:val="222222"/>
          <w:sz w:val="24"/>
          <w:szCs w:val="24"/>
          <w:lang w:eastAsia="pt-BR"/>
        </w:rPr>
        <w:t xml:space="preserve"> amplitude do conceito de renúncia de receita trazido pela Lei de Responsabilidade Fiscal), o Conselheiro Relator das contas de 2015 optou por endereçar o pleito ao Conselheiro Relator das contas do exercício de 2016. Todavia, no presente ano também não foi feita análise da adequação dos atos de renúncia de receitas com o regramento previsto na Lei de Responsabilidade Fiscal.</w:t>
      </w:r>
    </w:p>
    <w:p w:rsidR="00A71A9F" w:rsidRPr="00A71A9F" w:rsidRDefault="00A71A9F" w:rsidP="00A71A9F">
      <w:pPr>
        <w:shd w:val="clear" w:color="auto" w:fill="FFFFFF"/>
        <w:spacing w:after="0" w:line="360" w:lineRule="auto"/>
        <w:ind w:firstLine="567"/>
        <w:jc w:val="both"/>
        <w:rPr>
          <w:rFonts w:ascii="Times New Roman" w:eastAsia="Times New Roman" w:hAnsi="Times New Roman"/>
          <w:color w:val="222222"/>
          <w:sz w:val="24"/>
          <w:szCs w:val="24"/>
          <w:lang w:eastAsia="pt-BR"/>
        </w:rPr>
      </w:pPr>
      <w:r w:rsidRPr="00A71A9F">
        <w:rPr>
          <w:rFonts w:ascii="Times New Roman" w:eastAsia="Times New Roman" w:hAnsi="Times New Roman"/>
          <w:color w:val="222222"/>
          <w:sz w:val="24"/>
          <w:szCs w:val="24"/>
          <w:lang w:eastAsia="pt-BR"/>
        </w:rPr>
        <w:t>De toda forma, ainda que até o presente momento o Tribunal de Contas não tenha iniciado a análise do tema da renúncia de receitas, deverá fazê-lo nos exercícios vindouros, de modo a dar cumprimento à sua missão constitucional.</w:t>
      </w:r>
    </w:p>
    <w:p w:rsidR="00A71A9F" w:rsidRPr="00A71A9F" w:rsidRDefault="00A71A9F" w:rsidP="00A71A9F">
      <w:pPr>
        <w:shd w:val="clear" w:color="auto" w:fill="FFFFFF"/>
        <w:spacing w:after="0" w:line="360" w:lineRule="auto"/>
        <w:ind w:firstLine="567"/>
        <w:jc w:val="both"/>
        <w:rPr>
          <w:rFonts w:ascii="Times New Roman" w:eastAsia="Times New Roman" w:hAnsi="Times New Roman"/>
          <w:color w:val="222222"/>
          <w:sz w:val="24"/>
          <w:szCs w:val="24"/>
          <w:lang w:eastAsia="pt-BR"/>
        </w:rPr>
      </w:pPr>
      <w:r w:rsidRPr="00A71A9F">
        <w:rPr>
          <w:rFonts w:ascii="Times New Roman" w:eastAsia="Times New Roman" w:hAnsi="Times New Roman"/>
          <w:color w:val="222222"/>
          <w:sz w:val="24"/>
          <w:szCs w:val="24"/>
          <w:lang w:eastAsia="pt-BR"/>
        </w:rPr>
        <w:t>Especialmente em tempos de estagnação/queda de arrecadação, são cruciais a transparência, o acompanhamento e a periódica avaliação do impacto e da efetividade das receitas renunciadas.</w:t>
      </w:r>
    </w:p>
    <w:p w:rsidR="00A71A9F" w:rsidRPr="00A71A9F" w:rsidRDefault="00A71A9F" w:rsidP="00A71A9F">
      <w:pPr>
        <w:shd w:val="clear" w:color="auto" w:fill="FFFFFF"/>
        <w:spacing w:after="0" w:line="360" w:lineRule="auto"/>
        <w:ind w:firstLine="567"/>
        <w:jc w:val="both"/>
        <w:rPr>
          <w:rFonts w:ascii="Times New Roman" w:eastAsia="Times New Roman" w:hAnsi="Times New Roman"/>
          <w:color w:val="222222"/>
          <w:sz w:val="24"/>
          <w:szCs w:val="24"/>
          <w:lang w:eastAsia="pt-BR"/>
        </w:rPr>
      </w:pPr>
      <w:r w:rsidRPr="00A71A9F">
        <w:rPr>
          <w:rFonts w:ascii="Times New Roman" w:eastAsia="Times New Roman" w:hAnsi="Times New Roman"/>
          <w:bCs/>
          <w:color w:val="222222"/>
          <w:sz w:val="24"/>
          <w:szCs w:val="24"/>
          <w:lang w:eastAsia="pt-BR"/>
        </w:rPr>
        <w:t>Conclusão.</w:t>
      </w:r>
    </w:p>
    <w:p w:rsidR="00A71A9F" w:rsidRPr="00A71A9F" w:rsidRDefault="00A71A9F" w:rsidP="00A71A9F">
      <w:pPr>
        <w:shd w:val="clear" w:color="auto" w:fill="FFFFFF"/>
        <w:spacing w:after="0" w:line="360" w:lineRule="auto"/>
        <w:ind w:firstLine="567"/>
        <w:jc w:val="both"/>
        <w:rPr>
          <w:rFonts w:ascii="Times New Roman" w:eastAsia="Times New Roman" w:hAnsi="Times New Roman"/>
          <w:color w:val="222222"/>
          <w:sz w:val="24"/>
          <w:szCs w:val="24"/>
          <w:lang w:eastAsia="pt-BR"/>
        </w:rPr>
      </w:pPr>
      <w:r w:rsidRPr="00A71A9F">
        <w:rPr>
          <w:rFonts w:ascii="Times New Roman" w:eastAsia="Times New Roman" w:hAnsi="Times New Roman"/>
          <w:color w:val="222222"/>
          <w:sz w:val="24"/>
          <w:szCs w:val="24"/>
          <w:lang w:eastAsia="pt-BR"/>
        </w:rPr>
        <w:t>Ante todo o exposto, </w:t>
      </w:r>
      <w:r w:rsidRPr="00A71A9F">
        <w:rPr>
          <w:rFonts w:ascii="Times New Roman" w:eastAsia="Times New Roman" w:hAnsi="Times New Roman"/>
          <w:iCs/>
          <w:color w:val="222222"/>
          <w:sz w:val="24"/>
          <w:szCs w:val="24"/>
          <w:lang w:eastAsia="pt-BR"/>
        </w:rPr>
        <w:t>advertida a falta de informações relativas à renúncia de receitas</w:t>
      </w:r>
      <w:r w:rsidRPr="00A71A9F">
        <w:rPr>
          <w:rFonts w:ascii="Times New Roman" w:eastAsia="Times New Roman" w:hAnsi="Times New Roman"/>
          <w:color w:val="222222"/>
          <w:sz w:val="24"/>
          <w:szCs w:val="24"/>
          <w:lang w:eastAsia="pt-BR"/>
        </w:rPr>
        <w:t>, opina o Ministério Público de Contas pela emissão de </w:t>
      </w:r>
      <w:r w:rsidRPr="00A71A9F">
        <w:rPr>
          <w:rFonts w:ascii="Times New Roman" w:eastAsia="Times New Roman" w:hAnsi="Times New Roman"/>
          <w:bCs/>
          <w:color w:val="222222"/>
          <w:sz w:val="24"/>
          <w:szCs w:val="24"/>
          <w:lang w:eastAsia="pt-BR"/>
        </w:rPr>
        <w:t xml:space="preserve">parecer prévio </w:t>
      </w:r>
      <w:r w:rsidRPr="00A71A9F">
        <w:rPr>
          <w:rFonts w:ascii="Times New Roman" w:eastAsia="Times New Roman" w:hAnsi="Times New Roman"/>
          <w:bCs/>
          <w:color w:val="222222"/>
          <w:sz w:val="24"/>
          <w:szCs w:val="24"/>
          <w:lang w:eastAsia="pt-BR"/>
        </w:rPr>
        <w:lastRenderedPageBreak/>
        <w:t>favorável </w:t>
      </w:r>
      <w:r w:rsidRPr="00A71A9F">
        <w:rPr>
          <w:rFonts w:ascii="Times New Roman" w:eastAsia="Times New Roman" w:hAnsi="Times New Roman"/>
          <w:color w:val="222222"/>
          <w:sz w:val="24"/>
          <w:szCs w:val="24"/>
          <w:lang w:eastAsia="pt-BR"/>
        </w:rPr>
        <w:t>às Contas do Governador, porém, com ressalvas, ante o reiterado descumprimento de recomendações exaradas em exercícios anteriores, sem prejuízo das recomendações externadas pelas competentes áreas técnicas desta Egrégia Corte de Contas, além das destacadas no corpo da presente manifestação, a saber:</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A ressalva consignada pelo Tribunal de Contas do Estado de São Paulo corrobora o entendimento e as cobranças reiteradas da bancada do Partido dos Trabalhadores onde questionamos a omissão do Governo do Estado na transparência da demonstração da evolução das renúncias de receita apresentadas em anexos dos Projetos de Lei das Diretrizes Orçamentárias apresentadas pelo Governador e ainda a consequente estimativa do impacto.</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 xml:space="preserve">O Tribunal de Contas ressalva de aprovação nas contas do Governador, dentre outros itens, a ausência de cumprimento do que estabelece o artigo 14 da LRF, qual </w:t>
      </w:r>
      <w:proofErr w:type="gramStart"/>
      <w:r w:rsidRPr="00A71A9F">
        <w:rPr>
          <w:rFonts w:ascii="Times New Roman" w:eastAsia="Times New Roman" w:hAnsi="Times New Roman"/>
          <w:sz w:val="24"/>
          <w:szCs w:val="24"/>
          <w:lang w:eastAsia="pt-BR"/>
        </w:rPr>
        <w:t>seja,</w:t>
      </w:r>
      <w:proofErr w:type="gramEnd"/>
      <w:r w:rsidRPr="00A71A9F">
        <w:rPr>
          <w:rFonts w:ascii="Times New Roman" w:eastAsia="Times New Roman" w:hAnsi="Times New Roman"/>
          <w:sz w:val="24"/>
          <w:szCs w:val="24"/>
          <w:lang w:eastAsia="pt-BR"/>
        </w:rPr>
        <w:t xml:space="preserve"> a estimativa do impacto econômico financeiro das renúncias fiscais. </w:t>
      </w:r>
    </w:p>
    <w:p w:rsidR="00A71A9F" w:rsidRPr="00A71A9F" w:rsidRDefault="00A71A9F" w:rsidP="00A71A9F">
      <w:pPr>
        <w:spacing w:after="0" w:line="360" w:lineRule="auto"/>
        <w:ind w:firstLine="567"/>
        <w:jc w:val="both"/>
        <w:rPr>
          <w:rFonts w:ascii="Times New Roman" w:eastAsia="Times New Roman" w:hAnsi="Times New Roman"/>
          <w:i/>
          <w:color w:val="000000"/>
          <w:sz w:val="24"/>
          <w:szCs w:val="24"/>
          <w:lang w:eastAsia="pt-BR"/>
        </w:rPr>
      </w:pPr>
      <w:r w:rsidRPr="00A71A9F">
        <w:rPr>
          <w:rFonts w:ascii="Times New Roman" w:eastAsia="Times New Roman" w:hAnsi="Times New Roman"/>
          <w:sz w:val="24"/>
          <w:szCs w:val="24"/>
          <w:lang w:eastAsia="pt-BR"/>
        </w:rPr>
        <w:t xml:space="preserve">Ora, sendo o parecer do Tribunal de Contas </w:t>
      </w:r>
      <w:proofErr w:type="spellStart"/>
      <w:r w:rsidRPr="00A71A9F">
        <w:rPr>
          <w:rFonts w:ascii="Times New Roman" w:eastAsia="Times New Roman" w:hAnsi="Times New Roman"/>
          <w:sz w:val="24"/>
          <w:szCs w:val="24"/>
          <w:lang w:eastAsia="pt-BR"/>
        </w:rPr>
        <w:t>orientativo</w:t>
      </w:r>
      <w:proofErr w:type="spellEnd"/>
      <w:r w:rsidRPr="00A71A9F">
        <w:rPr>
          <w:rFonts w:ascii="Times New Roman" w:eastAsia="Times New Roman" w:hAnsi="Times New Roman"/>
          <w:sz w:val="24"/>
          <w:szCs w:val="24"/>
          <w:lang w:eastAsia="pt-BR"/>
        </w:rPr>
        <w:t xml:space="preserve"> aos membros das Comissões Permanentes de Finanças, Orçamento e Planejamento e a de Fiscalização e Controle, e, tendo apontado uma ressalva à aprovação das Contas do Governador que denota a ocorrência de descumprimento frontal ao que estabelece o artigo 174 §6º da Constituição do Estado de São Paulo, não pode ter seguimento o RGL 2616/16 do Balanço Geral do Estado referente ao exercício de 2016. </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r w:rsidRPr="00A71A9F">
        <w:rPr>
          <w:rFonts w:ascii="Times New Roman" w:eastAsia="Times New Roman" w:hAnsi="Times New Roman"/>
          <w:color w:val="000000"/>
          <w:sz w:val="24"/>
          <w:szCs w:val="24"/>
          <w:lang w:eastAsia="pt-BR"/>
        </w:rPr>
        <w:t xml:space="preserve">A Constituição do Estado de São Paulo, em seu artigo 174, §6º, estabelece que: </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r w:rsidRPr="00A71A9F">
        <w:rPr>
          <w:rFonts w:ascii="Times New Roman" w:eastAsia="Times New Roman" w:hAnsi="Times New Roman"/>
          <w:bCs/>
          <w:color w:val="000000"/>
          <w:sz w:val="24"/>
          <w:szCs w:val="24"/>
          <w:lang w:eastAsia="pt-BR"/>
        </w:rPr>
        <w:t>Artigo</w:t>
      </w:r>
      <w:r w:rsidRPr="00A71A9F">
        <w:rPr>
          <w:rFonts w:ascii="Times New Roman" w:eastAsia="Times New Roman" w:hAnsi="Times New Roman"/>
          <w:color w:val="000000"/>
          <w:sz w:val="24"/>
          <w:szCs w:val="24"/>
          <w:lang w:eastAsia="pt-BR"/>
        </w:rPr>
        <w:t> </w:t>
      </w:r>
      <w:r w:rsidRPr="00A71A9F">
        <w:rPr>
          <w:rFonts w:ascii="Times New Roman" w:eastAsia="Times New Roman" w:hAnsi="Times New Roman"/>
          <w:bCs/>
          <w:color w:val="000000"/>
          <w:sz w:val="24"/>
          <w:szCs w:val="24"/>
          <w:lang w:eastAsia="pt-BR"/>
        </w:rPr>
        <w:t>174</w:t>
      </w:r>
      <w:r w:rsidRPr="00A71A9F">
        <w:rPr>
          <w:rFonts w:ascii="Times New Roman" w:eastAsia="Times New Roman" w:hAnsi="Times New Roman"/>
          <w:color w:val="000000"/>
          <w:sz w:val="24"/>
          <w:szCs w:val="24"/>
          <w:lang w:eastAsia="pt-BR"/>
        </w:rPr>
        <w:t> - Leis de iniciativa do Poder Executivo estabelecerão, com observância dos preceitos correspondentes da Constituição Federal:</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r w:rsidRPr="00A71A9F">
        <w:rPr>
          <w:rFonts w:ascii="Times New Roman" w:eastAsia="Times New Roman" w:hAnsi="Times New Roman"/>
          <w:bCs/>
          <w:color w:val="000000"/>
          <w:sz w:val="24"/>
          <w:szCs w:val="24"/>
          <w:lang w:eastAsia="pt-BR"/>
        </w:rPr>
        <w:t>I -</w:t>
      </w:r>
      <w:r w:rsidRPr="00A71A9F">
        <w:rPr>
          <w:rFonts w:ascii="Times New Roman" w:eastAsia="Times New Roman" w:hAnsi="Times New Roman"/>
          <w:color w:val="000000"/>
          <w:sz w:val="24"/>
          <w:szCs w:val="24"/>
          <w:lang w:eastAsia="pt-BR"/>
        </w:rPr>
        <w:t> o plano plurianual;</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r w:rsidRPr="00A71A9F">
        <w:rPr>
          <w:rFonts w:ascii="Times New Roman" w:eastAsia="Times New Roman" w:hAnsi="Times New Roman"/>
          <w:bCs/>
          <w:color w:val="000000"/>
          <w:sz w:val="24"/>
          <w:szCs w:val="24"/>
          <w:lang w:eastAsia="pt-BR"/>
        </w:rPr>
        <w:t>II -</w:t>
      </w:r>
      <w:r w:rsidRPr="00A71A9F">
        <w:rPr>
          <w:rFonts w:ascii="Times New Roman" w:eastAsia="Times New Roman" w:hAnsi="Times New Roman"/>
          <w:color w:val="000000"/>
          <w:sz w:val="24"/>
          <w:szCs w:val="24"/>
          <w:lang w:eastAsia="pt-BR"/>
        </w:rPr>
        <w:t> as diretrizes orçamentárias;</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r w:rsidRPr="00A71A9F">
        <w:rPr>
          <w:rFonts w:ascii="Times New Roman" w:eastAsia="Times New Roman" w:hAnsi="Times New Roman"/>
          <w:bCs/>
          <w:color w:val="000000"/>
          <w:sz w:val="24"/>
          <w:szCs w:val="24"/>
          <w:lang w:eastAsia="pt-BR"/>
        </w:rPr>
        <w:t>III</w:t>
      </w:r>
      <w:r w:rsidRPr="00A71A9F">
        <w:rPr>
          <w:rFonts w:ascii="Times New Roman" w:eastAsia="Times New Roman" w:hAnsi="Times New Roman"/>
          <w:b/>
          <w:bCs/>
          <w:color w:val="000000"/>
          <w:sz w:val="24"/>
          <w:szCs w:val="24"/>
          <w:lang w:eastAsia="pt-BR"/>
        </w:rPr>
        <w:t xml:space="preserve"> -</w:t>
      </w:r>
      <w:r w:rsidRPr="00A71A9F">
        <w:rPr>
          <w:rFonts w:ascii="Times New Roman" w:eastAsia="Times New Roman" w:hAnsi="Times New Roman"/>
          <w:color w:val="000000"/>
          <w:sz w:val="24"/>
          <w:szCs w:val="24"/>
          <w:lang w:eastAsia="pt-BR"/>
        </w:rPr>
        <w:t> os orçamentos anuais.</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shd w:val="clear" w:color="auto" w:fill="F7F7F7"/>
          <w:lang w:eastAsia="pt-BR"/>
        </w:rPr>
      </w:pPr>
      <w:r w:rsidRPr="00A71A9F">
        <w:rPr>
          <w:rFonts w:ascii="Times New Roman" w:eastAsia="Times New Roman" w:hAnsi="Times New Roman"/>
          <w:bCs/>
          <w:color w:val="000000"/>
          <w:sz w:val="24"/>
          <w:szCs w:val="24"/>
          <w:shd w:val="clear" w:color="auto" w:fill="F7F7F7"/>
          <w:lang w:eastAsia="pt-BR"/>
        </w:rPr>
        <w:t>§ 6º</w:t>
      </w:r>
      <w:r w:rsidRPr="00A71A9F">
        <w:rPr>
          <w:rFonts w:ascii="Times New Roman" w:eastAsia="Times New Roman" w:hAnsi="Times New Roman"/>
          <w:b/>
          <w:bCs/>
          <w:color w:val="000000"/>
          <w:sz w:val="24"/>
          <w:szCs w:val="24"/>
          <w:shd w:val="clear" w:color="auto" w:fill="F7F7F7"/>
          <w:lang w:eastAsia="pt-BR"/>
        </w:rPr>
        <w:t xml:space="preserve"> -</w:t>
      </w:r>
      <w:r w:rsidRPr="00A71A9F">
        <w:rPr>
          <w:rFonts w:ascii="Times New Roman" w:eastAsia="Times New Roman" w:hAnsi="Times New Roman"/>
          <w:color w:val="000000"/>
          <w:sz w:val="24"/>
          <w:szCs w:val="24"/>
          <w:shd w:val="clear" w:color="auto" w:fill="F7F7F7"/>
          <w:lang w:eastAsia="pt-BR"/>
        </w:rPr>
        <w:t xml:space="preserve"> O projeto de lei orçamentária será acompanhado de demonstrativo dos efeitos decorrentes de isenções, anistias, remissões, subsídios e benefícios de natureza financeira, tributária e </w:t>
      </w:r>
      <w:proofErr w:type="gramStart"/>
      <w:r w:rsidRPr="00A71A9F">
        <w:rPr>
          <w:rFonts w:ascii="Times New Roman" w:eastAsia="Times New Roman" w:hAnsi="Times New Roman"/>
          <w:color w:val="000000"/>
          <w:sz w:val="24"/>
          <w:szCs w:val="24"/>
          <w:shd w:val="clear" w:color="auto" w:fill="F7F7F7"/>
          <w:lang w:eastAsia="pt-BR"/>
        </w:rPr>
        <w:t>creditícia</w:t>
      </w:r>
      <w:proofErr w:type="gramEnd"/>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r w:rsidRPr="00A71A9F">
        <w:rPr>
          <w:rFonts w:ascii="Times New Roman" w:eastAsia="Times New Roman" w:hAnsi="Times New Roman"/>
          <w:color w:val="000000"/>
          <w:sz w:val="24"/>
          <w:szCs w:val="24"/>
          <w:lang w:eastAsia="pt-BR"/>
        </w:rPr>
        <w:t xml:space="preserve">A Lei de Responsabilidade Fiscal, LC nº 101/2000 </w:t>
      </w:r>
      <w:bookmarkStart w:id="0" w:name="art14"/>
      <w:bookmarkEnd w:id="0"/>
      <w:r w:rsidRPr="00A71A9F">
        <w:rPr>
          <w:rFonts w:ascii="Times New Roman" w:eastAsia="Times New Roman" w:hAnsi="Times New Roman"/>
          <w:color w:val="000000"/>
          <w:sz w:val="24"/>
          <w:szCs w:val="24"/>
          <w:lang w:eastAsia="pt-BR"/>
        </w:rPr>
        <w:t xml:space="preserve">em seu artigo 14 estabelece que: </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proofErr w:type="gramStart"/>
      <w:r w:rsidRPr="00A71A9F">
        <w:rPr>
          <w:rFonts w:ascii="Times New Roman" w:eastAsia="Times New Roman" w:hAnsi="Times New Roman"/>
          <w:color w:val="000000"/>
          <w:sz w:val="24"/>
          <w:szCs w:val="24"/>
          <w:lang w:eastAsia="pt-BR"/>
        </w:rPr>
        <w:t>“A concessão ou ampliação de</w:t>
      </w:r>
      <w:proofErr w:type="gramEnd"/>
      <w:r w:rsidRPr="00A71A9F">
        <w:rPr>
          <w:rFonts w:ascii="Times New Roman" w:eastAsia="Times New Roman" w:hAnsi="Times New Roman"/>
          <w:color w:val="000000"/>
          <w:sz w:val="24"/>
          <w:szCs w:val="24"/>
          <w:lang w:eastAsia="pt-BR"/>
        </w:rPr>
        <w:t xml:space="preserve"> incentivo ou benefício de natureza tributária da qual decorra renúncia de receita deverá estar acompanhada de estimativa do impacto orçamentário-financeiro no exercício em que deva iniciar sua vigência e nos dois seguintes, atender ao disposto na lei de diretrizes orçamentárias e a pelo menos uma das </w:t>
      </w:r>
      <w:r w:rsidRPr="00A71A9F">
        <w:rPr>
          <w:rFonts w:ascii="Times New Roman" w:eastAsia="Times New Roman" w:hAnsi="Times New Roman"/>
          <w:color w:val="000000"/>
          <w:sz w:val="24"/>
          <w:szCs w:val="24"/>
          <w:lang w:eastAsia="pt-BR"/>
        </w:rPr>
        <w:lastRenderedPageBreak/>
        <w:t>seguintes condições</w:t>
      </w:r>
      <w:r w:rsidRPr="00A71A9F">
        <w:rPr>
          <w:rFonts w:ascii="Times New Roman" w:eastAsia="Times New Roman" w:hAnsi="Times New Roman"/>
          <w:sz w:val="24"/>
          <w:szCs w:val="24"/>
          <w:lang w:eastAsia="pt-BR"/>
        </w:rPr>
        <w:t xml:space="preserve">: </w:t>
      </w:r>
      <w:hyperlink r:id="rId4" w:anchor="art9§3" w:history="1">
        <w:r w:rsidRPr="00A71A9F">
          <w:rPr>
            <w:rFonts w:ascii="Times New Roman" w:eastAsiaTheme="majorEastAsia" w:hAnsi="Times New Roman"/>
            <w:color w:val="0000FF"/>
            <w:sz w:val="24"/>
            <w:szCs w:val="24"/>
            <w:u w:val="single"/>
            <w:lang w:eastAsia="pt-BR"/>
          </w:rPr>
          <w:t>(Vide Medida Provisória nº 2.159, de 2001)</w:t>
        </w:r>
      </w:hyperlink>
      <w:r w:rsidRPr="00A71A9F">
        <w:rPr>
          <w:rFonts w:ascii="Times New Roman" w:eastAsia="Times New Roman" w:hAnsi="Times New Roman"/>
          <w:sz w:val="24"/>
          <w:szCs w:val="24"/>
          <w:lang w:eastAsia="pt-BR"/>
        </w:rPr>
        <w:t xml:space="preserve"> </w:t>
      </w:r>
      <w:hyperlink r:id="rId5" w:anchor="art1§7" w:history="1">
        <w:r w:rsidRPr="00A71A9F">
          <w:rPr>
            <w:rFonts w:ascii="Times New Roman" w:eastAsiaTheme="majorEastAsia" w:hAnsi="Times New Roman"/>
            <w:color w:val="0000FF"/>
            <w:sz w:val="24"/>
            <w:szCs w:val="24"/>
            <w:u w:val="single"/>
            <w:lang w:eastAsia="pt-BR"/>
          </w:rPr>
          <w:t>(Vide Lei nº 10.276, de 2001)</w:t>
        </w:r>
      </w:hyperlink>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bookmarkStart w:id="1" w:name="art14i"/>
      <w:bookmarkEnd w:id="1"/>
      <w:r w:rsidRPr="00A71A9F">
        <w:rPr>
          <w:rFonts w:ascii="Times New Roman" w:eastAsia="Times New Roman" w:hAnsi="Times New Roman"/>
          <w:color w:val="000000"/>
          <w:sz w:val="24"/>
          <w:szCs w:val="24"/>
          <w:lang w:eastAsia="pt-BR"/>
        </w:rPr>
        <w:t>I - demonstração pelo proponente de que a renúncia foi considerada na estimativa de receita da lei orçamentária, na forma do art. 12, e de que não afetará as metas de resultados fiscais previstas no anexo próprio da lei de diretrizes orçamentárias;</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bookmarkStart w:id="2" w:name="art14ii"/>
      <w:bookmarkEnd w:id="2"/>
      <w:r w:rsidRPr="00A71A9F">
        <w:rPr>
          <w:rFonts w:ascii="Times New Roman" w:eastAsia="Times New Roman" w:hAnsi="Times New Roman"/>
          <w:color w:val="000000"/>
          <w:sz w:val="24"/>
          <w:szCs w:val="24"/>
          <w:lang w:eastAsia="pt-BR"/>
        </w:rPr>
        <w:t>II - estar acompanhada de medidas de compensação, no período mencionado no </w:t>
      </w:r>
      <w:r w:rsidRPr="00A71A9F">
        <w:rPr>
          <w:rFonts w:ascii="Times New Roman" w:eastAsia="Times New Roman" w:hAnsi="Times New Roman"/>
          <w:iCs/>
          <w:color w:val="000000"/>
          <w:sz w:val="24"/>
          <w:szCs w:val="24"/>
          <w:lang w:eastAsia="pt-BR"/>
        </w:rPr>
        <w:t>caput</w:t>
      </w:r>
      <w:r w:rsidRPr="00A71A9F">
        <w:rPr>
          <w:rFonts w:ascii="Times New Roman" w:eastAsia="Times New Roman" w:hAnsi="Times New Roman"/>
          <w:color w:val="000000"/>
          <w:sz w:val="24"/>
          <w:szCs w:val="24"/>
          <w:lang w:eastAsia="pt-BR"/>
        </w:rPr>
        <w:t>, por meio do aumento de receita, proveniente da elevação de alíquotas, ampliação da base de cálculo, majoração ou criação de tributo ou contribuição.</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bookmarkStart w:id="3" w:name="art14§1"/>
      <w:bookmarkEnd w:id="3"/>
      <w:r w:rsidRPr="00A71A9F">
        <w:rPr>
          <w:rFonts w:ascii="Times New Roman" w:eastAsia="Times New Roman" w:hAnsi="Times New Roman"/>
          <w:color w:val="000000"/>
          <w:sz w:val="24"/>
          <w:szCs w:val="24"/>
          <w:lang w:eastAsia="pt-BR"/>
        </w:rPr>
        <w:t>§ 1</w:t>
      </w:r>
      <w:r w:rsidRPr="00A71A9F">
        <w:rPr>
          <w:rFonts w:ascii="Times New Roman" w:eastAsia="Times New Roman" w:hAnsi="Times New Roman"/>
          <w:color w:val="000000"/>
          <w:sz w:val="24"/>
          <w:szCs w:val="24"/>
          <w:u w:val="single"/>
          <w:vertAlign w:val="superscript"/>
          <w:lang w:eastAsia="pt-BR"/>
        </w:rPr>
        <w:t>o</w:t>
      </w:r>
      <w:r w:rsidRPr="00A71A9F">
        <w:rPr>
          <w:rFonts w:ascii="Times New Roman" w:eastAsia="Times New Roman" w:hAnsi="Times New Roman"/>
          <w:color w:val="000000"/>
          <w:sz w:val="24"/>
          <w:szCs w:val="24"/>
          <w:lang w:eastAsia="pt-BR"/>
        </w:rPr>
        <w:t> A renúncia compreende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bookmarkStart w:id="4" w:name="art14§2"/>
      <w:bookmarkEnd w:id="4"/>
      <w:r w:rsidRPr="00A71A9F">
        <w:rPr>
          <w:rFonts w:ascii="Times New Roman" w:eastAsia="Times New Roman" w:hAnsi="Times New Roman"/>
          <w:color w:val="000000"/>
          <w:sz w:val="24"/>
          <w:szCs w:val="24"/>
          <w:lang w:eastAsia="pt-BR"/>
        </w:rPr>
        <w:t>§ 2</w:t>
      </w:r>
      <w:r w:rsidRPr="00A71A9F">
        <w:rPr>
          <w:rFonts w:ascii="Times New Roman" w:eastAsia="Times New Roman" w:hAnsi="Times New Roman"/>
          <w:color w:val="000000"/>
          <w:sz w:val="24"/>
          <w:szCs w:val="24"/>
          <w:u w:val="single"/>
          <w:vertAlign w:val="superscript"/>
          <w:lang w:eastAsia="pt-BR"/>
        </w:rPr>
        <w:t>o</w:t>
      </w:r>
      <w:r w:rsidRPr="00A71A9F">
        <w:rPr>
          <w:rFonts w:ascii="Times New Roman" w:eastAsia="Times New Roman" w:hAnsi="Times New Roman"/>
          <w:color w:val="000000"/>
          <w:sz w:val="24"/>
          <w:szCs w:val="24"/>
          <w:lang w:eastAsia="pt-BR"/>
        </w:rPr>
        <w:t> Se o ato de concessão ou ampliação do incentivo ou benefício de que trata o </w:t>
      </w:r>
      <w:r w:rsidRPr="00A71A9F">
        <w:rPr>
          <w:rFonts w:ascii="Times New Roman" w:eastAsia="Times New Roman" w:hAnsi="Times New Roman"/>
          <w:iCs/>
          <w:color w:val="000000"/>
          <w:sz w:val="24"/>
          <w:szCs w:val="24"/>
          <w:lang w:eastAsia="pt-BR"/>
        </w:rPr>
        <w:t>caput</w:t>
      </w:r>
      <w:r w:rsidRPr="00A71A9F">
        <w:rPr>
          <w:rFonts w:ascii="Times New Roman" w:eastAsia="Times New Roman" w:hAnsi="Times New Roman"/>
          <w:color w:val="000000"/>
          <w:sz w:val="24"/>
          <w:szCs w:val="24"/>
          <w:lang w:eastAsia="pt-BR"/>
        </w:rPr>
        <w:t xml:space="preserve"> deste artigo decorrer da condição contida no inciso II, o benefício só entrará em vigor quando </w:t>
      </w:r>
      <w:proofErr w:type="gramStart"/>
      <w:r w:rsidRPr="00A71A9F">
        <w:rPr>
          <w:rFonts w:ascii="Times New Roman" w:eastAsia="Times New Roman" w:hAnsi="Times New Roman"/>
          <w:color w:val="000000"/>
          <w:sz w:val="24"/>
          <w:szCs w:val="24"/>
          <w:lang w:eastAsia="pt-BR"/>
        </w:rPr>
        <w:t>implementadas</w:t>
      </w:r>
      <w:proofErr w:type="gramEnd"/>
      <w:r w:rsidRPr="00A71A9F">
        <w:rPr>
          <w:rFonts w:ascii="Times New Roman" w:eastAsia="Times New Roman" w:hAnsi="Times New Roman"/>
          <w:color w:val="000000"/>
          <w:sz w:val="24"/>
          <w:szCs w:val="24"/>
          <w:lang w:eastAsia="pt-BR"/>
        </w:rPr>
        <w:t xml:space="preserve"> as medidas referidas no mencionado inciso.</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bookmarkStart w:id="5" w:name="art14§3"/>
      <w:bookmarkEnd w:id="5"/>
      <w:r w:rsidRPr="00A71A9F">
        <w:rPr>
          <w:rFonts w:ascii="Times New Roman" w:eastAsia="Times New Roman" w:hAnsi="Times New Roman"/>
          <w:color w:val="000000"/>
          <w:sz w:val="24"/>
          <w:szCs w:val="24"/>
          <w:lang w:eastAsia="pt-BR"/>
        </w:rPr>
        <w:t>§ 3</w:t>
      </w:r>
      <w:r w:rsidRPr="00A71A9F">
        <w:rPr>
          <w:rFonts w:ascii="Times New Roman" w:eastAsia="Times New Roman" w:hAnsi="Times New Roman"/>
          <w:color w:val="000000"/>
          <w:sz w:val="24"/>
          <w:szCs w:val="24"/>
          <w:u w:val="single"/>
          <w:vertAlign w:val="superscript"/>
          <w:lang w:eastAsia="pt-BR"/>
        </w:rPr>
        <w:t>o</w:t>
      </w:r>
      <w:r w:rsidRPr="00A71A9F">
        <w:rPr>
          <w:rFonts w:ascii="Times New Roman" w:eastAsia="Times New Roman" w:hAnsi="Times New Roman"/>
          <w:color w:val="000000"/>
          <w:sz w:val="24"/>
          <w:szCs w:val="24"/>
          <w:lang w:eastAsia="pt-BR"/>
        </w:rPr>
        <w:t> O disposto neste artigo não se aplica:</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bookmarkStart w:id="6" w:name="art14§3i"/>
      <w:bookmarkEnd w:id="6"/>
      <w:r w:rsidRPr="00A71A9F">
        <w:rPr>
          <w:rFonts w:ascii="Times New Roman" w:eastAsia="Times New Roman" w:hAnsi="Times New Roman"/>
          <w:color w:val="000000"/>
          <w:sz w:val="24"/>
          <w:szCs w:val="24"/>
          <w:lang w:eastAsia="pt-BR"/>
        </w:rPr>
        <w:t>I - às alterações das alíquotas dos impostos previstos nos </w:t>
      </w:r>
      <w:hyperlink r:id="rId6" w:anchor="art153i" w:history="1">
        <w:r w:rsidRPr="00A71A9F">
          <w:rPr>
            <w:rFonts w:ascii="Times New Roman" w:eastAsiaTheme="majorEastAsia" w:hAnsi="Times New Roman"/>
            <w:color w:val="0000FF"/>
            <w:sz w:val="24"/>
            <w:szCs w:val="24"/>
            <w:u w:val="single"/>
            <w:lang w:eastAsia="pt-BR"/>
          </w:rPr>
          <w:t>incisos I</w:t>
        </w:r>
      </w:hyperlink>
      <w:proofErr w:type="gramStart"/>
      <w:r w:rsidRPr="00A71A9F">
        <w:rPr>
          <w:rFonts w:ascii="Times New Roman" w:eastAsia="Times New Roman" w:hAnsi="Times New Roman"/>
          <w:sz w:val="24"/>
          <w:szCs w:val="24"/>
          <w:lang w:eastAsia="pt-BR"/>
        </w:rPr>
        <w:t>,</w:t>
      </w:r>
      <w:proofErr w:type="gramEnd"/>
      <w:r w:rsidRPr="00A71A9F">
        <w:rPr>
          <w:rFonts w:ascii="Times New Roman" w:eastAsia="Times New Roman" w:hAnsi="Times New Roman"/>
          <w:sz w:val="24"/>
          <w:szCs w:val="24"/>
          <w:lang w:eastAsia="pt-BR"/>
        </w:rPr>
        <w:fldChar w:fldCharType="begin"/>
      </w:r>
      <w:r w:rsidRPr="00A71A9F">
        <w:rPr>
          <w:rFonts w:ascii="Times New Roman" w:eastAsia="Times New Roman" w:hAnsi="Times New Roman"/>
          <w:sz w:val="24"/>
          <w:szCs w:val="24"/>
          <w:lang w:eastAsia="pt-BR"/>
        </w:rPr>
        <w:instrText xml:space="preserve"> HYPERLINK "http://www.planalto.gov.br/ccivil_03/Constituicao/Constituicao.htm" \l "art153ii" </w:instrText>
      </w:r>
      <w:r w:rsidRPr="00A71A9F">
        <w:rPr>
          <w:rFonts w:ascii="Times New Roman" w:eastAsia="Times New Roman" w:hAnsi="Times New Roman"/>
          <w:sz w:val="24"/>
          <w:szCs w:val="24"/>
          <w:lang w:eastAsia="pt-BR"/>
        </w:rPr>
        <w:fldChar w:fldCharType="separate"/>
      </w:r>
      <w:r w:rsidRPr="00A71A9F">
        <w:rPr>
          <w:rFonts w:ascii="Times New Roman" w:eastAsiaTheme="majorEastAsia" w:hAnsi="Times New Roman"/>
          <w:color w:val="0000FF"/>
          <w:sz w:val="24"/>
          <w:szCs w:val="24"/>
          <w:u w:val="single"/>
          <w:lang w:eastAsia="pt-BR"/>
        </w:rPr>
        <w:t> II</w:t>
      </w:r>
      <w:r w:rsidRPr="00A71A9F">
        <w:rPr>
          <w:rFonts w:ascii="Times New Roman" w:eastAsia="Times New Roman" w:hAnsi="Times New Roman"/>
          <w:sz w:val="24"/>
          <w:szCs w:val="24"/>
          <w:lang w:eastAsia="pt-BR"/>
        </w:rPr>
        <w:fldChar w:fldCharType="end"/>
      </w:r>
      <w:r w:rsidRPr="00A71A9F">
        <w:rPr>
          <w:rFonts w:ascii="Times New Roman" w:eastAsia="Times New Roman" w:hAnsi="Times New Roman"/>
          <w:sz w:val="24"/>
          <w:szCs w:val="24"/>
          <w:lang w:eastAsia="pt-BR"/>
        </w:rPr>
        <w:t>,</w:t>
      </w:r>
      <w:hyperlink r:id="rId7" w:anchor="art153iv" w:history="1">
        <w:r w:rsidRPr="00A71A9F">
          <w:rPr>
            <w:rFonts w:ascii="Times New Roman" w:eastAsiaTheme="majorEastAsia" w:hAnsi="Times New Roman"/>
            <w:color w:val="0000FF"/>
            <w:sz w:val="24"/>
            <w:szCs w:val="24"/>
            <w:u w:val="single"/>
            <w:lang w:eastAsia="pt-BR"/>
          </w:rPr>
          <w:t> IV </w:t>
        </w:r>
      </w:hyperlink>
      <w:r w:rsidRPr="00A71A9F">
        <w:rPr>
          <w:rFonts w:ascii="Times New Roman" w:eastAsia="Times New Roman" w:hAnsi="Times New Roman"/>
          <w:sz w:val="24"/>
          <w:szCs w:val="24"/>
          <w:lang w:eastAsia="pt-BR"/>
        </w:rPr>
        <w:t>e </w:t>
      </w:r>
      <w:hyperlink r:id="rId8" w:anchor="art153v" w:history="1">
        <w:r w:rsidRPr="00A71A9F">
          <w:rPr>
            <w:rFonts w:ascii="Times New Roman" w:eastAsiaTheme="majorEastAsia" w:hAnsi="Times New Roman"/>
            <w:color w:val="0000FF"/>
            <w:sz w:val="24"/>
            <w:szCs w:val="24"/>
            <w:u w:val="single"/>
            <w:lang w:eastAsia="pt-BR"/>
          </w:rPr>
          <w:t>V do art. 153 da Constituição</w:t>
        </w:r>
      </w:hyperlink>
      <w:r w:rsidRPr="00A71A9F">
        <w:rPr>
          <w:rFonts w:ascii="Times New Roman" w:eastAsia="Times New Roman" w:hAnsi="Times New Roman"/>
          <w:sz w:val="24"/>
          <w:szCs w:val="24"/>
          <w:lang w:eastAsia="pt-BR"/>
        </w:rPr>
        <w:t>, na forma do seu </w:t>
      </w:r>
      <w:hyperlink r:id="rId9" w:anchor="art153§1" w:history="1">
        <w:r w:rsidRPr="00A71A9F">
          <w:rPr>
            <w:rFonts w:ascii="Times New Roman" w:eastAsiaTheme="majorEastAsia" w:hAnsi="Times New Roman"/>
            <w:color w:val="0000FF"/>
            <w:sz w:val="24"/>
            <w:szCs w:val="24"/>
            <w:u w:val="single"/>
            <w:lang w:eastAsia="pt-BR"/>
          </w:rPr>
          <w:t>§ 1º</w:t>
        </w:r>
      </w:hyperlink>
      <w:r w:rsidRPr="00A71A9F">
        <w:rPr>
          <w:rFonts w:ascii="Times New Roman" w:eastAsia="Times New Roman" w:hAnsi="Times New Roman"/>
          <w:sz w:val="24"/>
          <w:szCs w:val="24"/>
          <w:lang w:eastAsia="pt-BR"/>
        </w:rPr>
        <w:t>;</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bookmarkStart w:id="7" w:name="art14§3ii"/>
      <w:bookmarkEnd w:id="7"/>
      <w:r w:rsidRPr="00A71A9F">
        <w:rPr>
          <w:rFonts w:ascii="Times New Roman" w:eastAsia="Times New Roman" w:hAnsi="Times New Roman"/>
          <w:color w:val="000000"/>
          <w:sz w:val="24"/>
          <w:szCs w:val="24"/>
          <w:lang w:eastAsia="pt-BR"/>
        </w:rPr>
        <w:t>II - ao cancelamento de débito cujo montante seja inferior ao dos respectivos custos de cobrança.</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A ausência de transparência do Poder Executivo em relação às renúncias fiscais se mostra não somente aos apontamentos consignados pelo Tribunal de Contas do Estado de São Paulo</w:t>
      </w:r>
      <w:proofErr w:type="gramStart"/>
      <w:r w:rsidRPr="00A71A9F">
        <w:rPr>
          <w:rFonts w:ascii="Times New Roman" w:eastAsia="Times New Roman" w:hAnsi="Times New Roman"/>
          <w:sz w:val="24"/>
          <w:szCs w:val="24"/>
          <w:lang w:eastAsia="pt-BR"/>
        </w:rPr>
        <w:t xml:space="preserve"> mas</w:t>
      </w:r>
      <w:proofErr w:type="gramEnd"/>
      <w:r w:rsidRPr="00A71A9F">
        <w:rPr>
          <w:rFonts w:ascii="Times New Roman" w:eastAsia="Times New Roman" w:hAnsi="Times New Roman"/>
          <w:sz w:val="24"/>
          <w:szCs w:val="24"/>
          <w:lang w:eastAsia="pt-BR"/>
        </w:rPr>
        <w:t xml:space="preserve"> também pela ausência de resposta, decorridos 30 (trinta) dias, a requerimento de informação formulado por este parlamentar em setembro deste ano sob número 371. </w:t>
      </w:r>
    </w:p>
    <w:p w:rsidR="00A71A9F" w:rsidRPr="00A71A9F" w:rsidRDefault="00A71A9F" w:rsidP="00A71A9F">
      <w:pPr>
        <w:keepNext/>
        <w:spacing w:after="60" w:line="360" w:lineRule="auto"/>
        <w:ind w:firstLine="567"/>
        <w:jc w:val="both"/>
        <w:outlineLvl w:val="0"/>
        <w:rPr>
          <w:rFonts w:ascii="Times New Roman" w:eastAsiaTheme="majorEastAsia" w:hAnsi="Times New Roman" w:cstheme="majorBidi"/>
          <w:bCs/>
          <w:kern w:val="32"/>
          <w:sz w:val="24"/>
          <w:szCs w:val="24"/>
          <w:lang w:eastAsia="pt-BR"/>
        </w:rPr>
      </w:pPr>
      <w:r w:rsidRPr="00A71A9F">
        <w:rPr>
          <w:rFonts w:ascii="Times New Roman" w:eastAsiaTheme="majorEastAsia" w:hAnsi="Times New Roman" w:cstheme="majorBidi"/>
          <w:bCs/>
          <w:kern w:val="32"/>
          <w:sz w:val="24"/>
          <w:szCs w:val="24"/>
          <w:lang w:eastAsia="pt-BR"/>
        </w:rPr>
        <w:t xml:space="preserve">Requerimento de Informação nº 371, de </w:t>
      </w:r>
      <w:proofErr w:type="gramStart"/>
      <w:r w:rsidRPr="00A71A9F">
        <w:rPr>
          <w:rFonts w:ascii="Times New Roman" w:eastAsiaTheme="majorEastAsia" w:hAnsi="Times New Roman" w:cstheme="majorBidi"/>
          <w:bCs/>
          <w:kern w:val="32"/>
          <w:sz w:val="24"/>
          <w:szCs w:val="24"/>
          <w:lang w:eastAsia="pt-BR"/>
        </w:rPr>
        <w:t>2017</w:t>
      </w:r>
      <w:proofErr w:type="gramEnd"/>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 xml:space="preserve">Nos termos do artigo 20, inciso XVI da Constituição do Estado de São Paulo, combinado com o artigo 166 da XIV Consolidação do Regimento Interno, </w:t>
      </w:r>
      <w:proofErr w:type="gramStart"/>
      <w:r w:rsidRPr="00A71A9F">
        <w:rPr>
          <w:rFonts w:ascii="Times New Roman" w:eastAsia="Times New Roman" w:hAnsi="Times New Roman"/>
          <w:sz w:val="24"/>
          <w:szCs w:val="24"/>
          <w:lang w:eastAsia="pt-BR"/>
        </w:rPr>
        <w:t>requeiro</w:t>
      </w:r>
      <w:proofErr w:type="gramEnd"/>
      <w:r w:rsidRPr="00A71A9F">
        <w:rPr>
          <w:rFonts w:ascii="Times New Roman" w:eastAsia="Times New Roman" w:hAnsi="Times New Roman"/>
          <w:sz w:val="24"/>
          <w:szCs w:val="24"/>
          <w:lang w:eastAsia="pt-BR"/>
        </w:rPr>
        <w:t xml:space="preserve"> seja oficiado ao Sr.</w:t>
      </w:r>
      <w:r w:rsidRPr="00A71A9F">
        <w:rPr>
          <w:rFonts w:ascii="Times New Roman" w:eastAsia="Times New Roman" w:hAnsi="Times New Roman"/>
          <w:color w:val="2F363C"/>
          <w:spacing w:val="-15"/>
          <w:sz w:val="24"/>
          <w:szCs w:val="24"/>
          <w:lang w:eastAsia="pt-BR"/>
        </w:rPr>
        <w:t xml:space="preserve"> </w:t>
      </w:r>
      <w:proofErr w:type="spellStart"/>
      <w:r w:rsidRPr="00A71A9F">
        <w:rPr>
          <w:rFonts w:ascii="Times New Roman" w:eastAsia="Times New Roman" w:hAnsi="Times New Roman"/>
          <w:color w:val="2F363C"/>
          <w:spacing w:val="-15"/>
          <w:sz w:val="24"/>
          <w:szCs w:val="24"/>
          <w:lang w:eastAsia="pt-BR"/>
        </w:rPr>
        <w:t>Helcio</w:t>
      </w:r>
      <w:proofErr w:type="spellEnd"/>
      <w:r w:rsidRPr="00A71A9F">
        <w:rPr>
          <w:rFonts w:ascii="Times New Roman" w:eastAsia="Times New Roman" w:hAnsi="Times New Roman"/>
          <w:color w:val="2F363C"/>
          <w:spacing w:val="-15"/>
          <w:sz w:val="24"/>
          <w:szCs w:val="24"/>
          <w:lang w:eastAsia="pt-BR"/>
        </w:rPr>
        <w:t xml:space="preserve"> </w:t>
      </w:r>
      <w:proofErr w:type="spellStart"/>
      <w:r w:rsidRPr="00A71A9F">
        <w:rPr>
          <w:rFonts w:ascii="Times New Roman" w:eastAsia="Times New Roman" w:hAnsi="Times New Roman"/>
          <w:color w:val="2F363C"/>
          <w:spacing w:val="-15"/>
          <w:sz w:val="24"/>
          <w:szCs w:val="24"/>
          <w:lang w:eastAsia="pt-BR"/>
        </w:rPr>
        <w:t>Tokeshi</w:t>
      </w:r>
      <w:proofErr w:type="spellEnd"/>
      <w:r w:rsidRPr="00A71A9F">
        <w:rPr>
          <w:rFonts w:ascii="Times New Roman" w:eastAsia="Times New Roman" w:hAnsi="Times New Roman"/>
          <w:sz w:val="24"/>
          <w:szCs w:val="24"/>
          <w:lang w:eastAsia="pt-BR"/>
        </w:rPr>
        <w:t>, Secretário da Fazenda</w:t>
      </w:r>
      <w:r w:rsidRPr="00A71A9F">
        <w:rPr>
          <w:rFonts w:ascii="Times New Roman" w:eastAsia="Times New Roman" w:hAnsi="Times New Roman"/>
          <w:b/>
          <w:sz w:val="24"/>
          <w:szCs w:val="24"/>
          <w:lang w:eastAsia="pt-BR"/>
        </w:rPr>
        <w:t>,</w:t>
      </w:r>
      <w:r w:rsidRPr="00A71A9F">
        <w:rPr>
          <w:rFonts w:ascii="Times New Roman" w:eastAsia="Times New Roman" w:hAnsi="Times New Roman"/>
          <w:sz w:val="24"/>
          <w:szCs w:val="24"/>
          <w:lang w:eastAsia="pt-BR"/>
        </w:rPr>
        <w:t xml:space="preserve"> para que preste as seguintes informações, preferencialmente em meio digital, relacionando </w:t>
      </w:r>
      <w:r w:rsidRPr="00A71A9F">
        <w:rPr>
          <w:rFonts w:ascii="Times New Roman" w:eastAsia="Times New Roman" w:hAnsi="Times New Roman"/>
          <w:color w:val="000000"/>
          <w:sz w:val="24"/>
          <w:szCs w:val="24"/>
          <w:lang w:eastAsia="pt-BR"/>
        </w:rPr>
        <w:t xml:space="preserve">informações sobre a as desonerações tributárias do ICMS, ou seja, </w:t>
      </w:r>
      <w:r w:rsidRPr="00A71A9F">
        <w:rPr>
          <w:rFonts w:ascii="Times New Roman" w:eastAsia="Times New Roman" w:hAnsi="Times New Roman"/>
          <w:sz w:val="24"/>
          <w:szCs w:val="24"/>
          <w:lang w:eastAsia="pt-BR"/>
        </w:rPr>
        <w:t xml:space="preserve">as que englobam as isenções fiscais, reduções de base de cálculo e concessões de crédito presumido, aprovadas através de convênios no âmbito do </w:t>
      </w:r>
      <w:proofErr w:type="spellStart"/>
      <w:r w:rsidRPr="00A71A9F">
        <w:rPr>
          <w:rFonts w:ascii="Times New Roman" w:eastAsia="Times New Roman" w:hAnsi="Times New Roman"/>
          <w:sz w:val="24"/>
          <w:szCs w:val="24"/>
          <w:lang w:eastAsia="pt-BR"/>
        </w:rPr>
        <w:t>Confaz</w:t>
      </w:r>
      <w:proofErr w:type="spellEnd"/>
      <w:r w:rsidRPr="00A71A9F">
        <w:rPr>
          <w:rFonts w:ascii="Times New Roman" w:eastAsia="Times New Roman" w:hAnsi="Times New Roman"/>
          <w:sz w:val="24"/>
          <w:szCs w:val="24"/>
          <w:lang w:eastAsia="pt-BR"/>
        </w:rPr>
        <w:t xml:space="preserve">, alguns por tempo indeterminado e outros por tempo determinado, além das imunidades constitucionais e, ainda, as saídas interestaduais de </w:t>
      </w:r>
      <w:r w:rsidRPr="00A71A9F">
        <w:rPr>
          <w:rFonts w:ascii="Times New Roman" w:eastAsia="Times New Roman" w:hAnsi="Times New Roman"/>
          <w:sz w:val="24"/>
          <w:szCs w:val="24"/>
          <w:lang w:eastAsia="pt-BR"/>
        </w:rPr>
        <w:lastRenderedPageBreak/>
        <w:t>combustíveis derivados de petróleo e energia elétrica (artigo 155, X, alínea “b”, da Constituição Federal), em especial o setor de frigoríficos e ainda:</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proofErr w:type="gramStart"/>
      <w:r w:rsidRPr="00A71A9F">
        <w:rPr>
          <w:rFonts w:ascii="Times New Roman" w:eastAsia="Times New Roman" w:hAnsi="Times New Roman"/>
          <w:sz w:val="24"/>
          <w:szCs w:val="24"/>
          <w:lang w:eastAsia="pt-BR"/>
        </w:rPr>
        <w:t>1-)</w:t>
      </w:r>
      <w:proofErr w:type="gramEnd"/>
      <w:r w:rsidRPr="00A71A9F">
        <w:rPr>
          <w:rFonts w:ascii="Times New Roman" w:eastAsia="Times New Roman" w:hAnsi="Times New Roman"/>
          <w:sz w:val="24"/>
          <w:szCs w:val="24"/>
          <w:lang w:eastAsia="pt-BR"/>
        </w:rPr>
        <w:t xml:space="preserve"> Aponte e discrimine os instrumentos legais que justificaram as desonerações , relacionando as leis aprovadas, decretos e convênios firmados entre 2010 a 2016 e apresente o valor total de cada uma delas.</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proofErr w:type="gramStart"/>
      <w:r w:rsidRPr="00A71A9F">
        <w:rPr>
          <w:rFonts w:ascii="Times New Roman" w:eastAsia="Times New Roman" w:hAnsi="Times New Roman"/>
          <w:sz w:val="24"/>
          <w:szCs w:val="24"/>
          <w:lang w:eastAsia="pt-BR"/>
        </w:rPr>
        <w:t>2-)</w:t>
      </w:r>
      <w:proofErr w:type="gramEnd"/>
      <w:r w:rsidRPr="00A71A9F">
        <w:rPr>
          <w:rFonts w:ascii="Times New Roman" w:eastAsia="Times New Roman" w:hAnsi="Times New Roman"/>
          <w:sz w:val="24"/>
          <w:szCs w:val="24"/>
          <w:lang w:eastAsia="pt-BR"/>
        </w:rPr>
        <w:t xml:space="preserve"> Apresente uma série histórica dos valores de desoneração fiscal do ICMS, no período entre 2010 a 2016, bem como dos diversos tipos mencionados, ou seja, as desonerações tributárias do ICMS que englobam as isenções fiscais, reduções de base de cálculo e concessões de crédito presumido, aprovadas através de convênios no âmbito do </w:t>
      </w:r>
      <w:proofErr w:type="spellStart"/>
      <w:r w:rsidRPr="00A71A9F">
        <w:rPr>
          <w:rFonts w:ascii="Times New Roman" w:eastAsia="Times New Roman" w:hAnsi="Times New Roman"/>
          <w:sz w:val="24"/>
          <w:szCs w:val="24"/>
          <w:lang w:eastAsia="pt-BR"/>
        </w:rPr>
        <w:t>Confaz</w:t>
      </w:r>
      <w:proofErr w:type="spellEnd"/>
      <w:r w:rsidRPr="00A71A9F">
        <w:rPr>
          <w:rFonts w:ascii="Times New Roman" w:eastAsia="Times New Roman" w:hAnsi="Times New Roman"/>
          <w:sz w:val="24"/>
          <w:szCs w:val="24"/>
          <w:lang w:eastAsia="pt-BR"/>
        </w:rPr>
        <w:t>, alguns por tempo indeterminado e outros por tempo determinado, além das imunidades constitucionais e, ainda, as saídas interestaduais de combustíveis derivados de petróleo e energia elétrica (artigo 155, X, alínea “b”, da Constituição Federal).</w:t>
      </w:r>
    </w:p>
    <w:p w:rsidR="00A71A9F" w:rsidRPr="00A71A9F" w:rsidRDefault="00A71A9F" w:rsidP="00A71A9F">
      <w:pPr>
        <w:spacing w:after="0" w:line="360" w:lineRule="auto"/>
        <w:ind w:firstLine="567"/>
        <w:jc w:val="both"/>
        <w:rPr>
          <w:rFonts w:ascii="Times New Roman" w:eastAsia="Times New Roman" w:hAnsi="Times New Roman"/>
          <w:bCs/>
          <w:sz w:val="24"/>
          <w:szCs w:val="24"/>
          <w:shd w:val="clear" w:color="auto" w:fill="FFFFFF"/>
          <w:lang w:eastAsia="pt-BR"/>
        </w:rPr>
      </w:pPr>
      <w:proofErr w:type="gramStart"/>
      <w:r w:rsidRPr="00A71A9F">
        <w:rPr>
          <w:rFonts w:ascii="Times New Roman" w:eastAsia="Times New Roman" w:hAnsi="Times New Roman"/>
          <w:sz w:val="24"/>
          <w:szCs w:val="24"/>
          <w:lang w:eastAsia="pt-BR"/>
        </w:rPr>
        <w:t>3-)</w:t>
      </w:r>
      <w:proofErr w:type="gramEnd"/>
      <w:r w:rsidRPr="00A71A9F">
        <w:rPr>
          <w:rFonts w:ascii="Times New Roman" w:eastAsia="Times New Roman" w:hAnsi="Times New Roman"/>
          <w:sz w:val="24"/>
          <w:szCs w:val="24"/>
          <w:lang w:eastAsia="pt-BR"/>
        </w:rPr>
        <w:t xml:space="preserve"> Apresente uma série histórica dos valores de desoneração fiscal do ICMS, no período entre 2010 a 2016, tomando como referência a </w:t>
      </w:r>
      <w:r w:rsidRPr="00A71A9F">
        <w:rPr>
          <w:rFonts w:ascii="Times New Roman" w:eastAsia="Times New Roman" w:hAnsi="Times New Roman"/>
          <w:bCs/>
          <w:sz w:val="24"/>
          <w:szCs w:val="24"/>
          <w:shd w:val="clear" w:color="auto" w:fill="FFFFFF"/>
          <w:lang w:eastAsia="pt-BR"/>
        </w:rPr>
        <w:t xml:space="preserve">Composição setorial de acordo com Classificação Nacional de Atividades Econômica </w:t>
      </w:r>
      <w:proofErr w:type="spellStart"/>
      <w:r w:rsidRPr="00A71A9F">
        <w:rPr>
          <w:rFonts w:ascii="Times New Roman" w:eastAsia="Times New Roman" w:hAnsi="Times New Roman"/>
          <w:bCs/>
          <w:sz w:val="24"/>
          <w:szCs w:val="24"/>
          <w:shd w:val="clear" w:color="auto" w:fill="FFFFFF"/>
          <w:lang w:eastAsia="pt-BR"/>
        </w:rPr>
        <w:t>CNAE-Fiscal</w:t>
      </w:r>
      <w:proofErr w:type="spellEnd"/>
      <w:r w:rsidRPr="00A71A9F">
        <w:rPr>
          <w:rFonts w:ascii="Times New Roman" w:eastAsia="Times New Roman" w:hAnsi="Times New Roman"/>
          <w:bCs/>
          <w:sz w:val="24"/>
          <w:szCs w:val="24"/>
          <w:shd w:val="clear" w:color="auto" w:fill="FFFFFF"/>
          <w:lang w:eastAsia="pt-BR"/>
        </w:rPr>
        <w:t xml:space="preserve"> e os setores econômicos discriminados na Tabela 1.4 - Estado de São Paulo: dados históricos da arrecadação de ICMS por setor de atividade- Estatísticas de Referência.</w:t>
      </w:r>
    </w:p>
    <w:p w:rsidR="00A71A9F" w:rsidRPr="00A71A9F" w:rsidRDefault="00A71A9F" w:rsidP="00A71A9F">
      <w:pPr>
        <w:spacing w:after="0" w:line="360" w:lineRule="auto"/>
        <w:ind w:firstLine="567"/>
        <w:jc w:val="both"/>
        <w:rPr>
          <w:rFonts w:ascii="Times New Roman" w:eastAsia="Times New Roman" w:hAnsi="Times New Roman"/>
          <w:bCs/>
          <w:sz w:val="24"/>
          <w:szCs w:val="24"/>
          <w:shd w:val="clear" w:color="auto" w:fill="FFFFFF"/>
          <w:lang w:eastAsia="pt-BR"/>
        </w:rPr>
      </w:pPr>
      <w:proofErr w:type="gramStart"/>
      <w:r w:rsidRPr="00A71A9F">
        <w:rPr>
          <w:rFonts w:ascii="Times New Roman" w:eastAsia="Times New Roman" w:hAnsi="Times New Roman"/>
          <w:bCs/>
          <w:sz w:val="24"/>
          <w:szCs w:val="24"/>
          <w:shd w:val="clear" w:color="auto" w:fill="FFFFFF"/>
          <w:lang w:eastAsia="pt-BR"/>
        </w:rPr>
        <w:t>4-)</w:t>
      </w:r>
      <w:proofErr w:type="gramEnd"/>
      <w:r w:rsidRPr="00A71A9F">
        <w:rPr>
          <w:rFonts w:ascii="Times New Roman" w:eastAsia="Times New Roman" w:hAnsi="Times New Roman"/>
          <w:bCs/>
          <w:sz w:val="24"/>
          <w:szCs w:val="24"/>
          <w:shd w:val="clear" w:color="auto" w:fill="FFFFFF"/>
          <w:lang w:eastAsia="pt-BR"/>
        </w:rPr>
        <w:t xml:space="preserve"> Aponte os beneficiários das desonerações tributárias, entre 2010 a 2016, discriminando o instrumento legal que autorizou e especifique o número do decreto ou convênio, além do valor deste beneficio fiscal, bem como as contrapartidas dos beneficiários.</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r w:rsidRPr="00A71A9F">
        <w:rPr>
          <w:rFonts w:ascii="Times New Roman" w:eastAsia="Times New Roman" w:hAnsi="Times New Roman"/>
          <w:color w:val="000000"/>
          <w:sz w:val="24"/>
          <w:szCs w:val="24"/>
          <w:lang w:eastAsia="pt-BR"/>
        </w:rPr>
        <w:t>Justificativa</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r w:rsidRPr="00A71A9F">
        <w:rPr>
          <w:rFonts w:ascii="Times New Roman" w:eastAsia="Times New Roman" w:hAnsi="Times New Roman"/>
          <w:color w:val="000000"/>
          <w:sz w:val="24"/>
          <w:szCs w:val="24"/>
          <w:lang w:eastAsia="pt-BR"/>
        </w:rPr>
        <w:t>A transparência é o ponto fundamental de uma boa gestão pública e a informação de valores de desoneração fiscal já deveria estar disponibilizada no Portal da Transparência do governo do Estado.</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r w:rsidRPr="00A71A9F">
        <w:rPr>
          <w:rFonts w:ascii="Times New Roman" w:eastAsia="Times New Roman" w:hAnsi="Times New Roman"/>
          <w:color w:val="000000"/>
          <w:sz w:val="24"/>
          <w:szCs w:val="24"/>
          <w:lang w:eastAsia="pt-BR"/>
        </w:rPr>
        <w:t>O Tribunal de Contas do Estado, na análise das Contas do Governador de 2016, estabeleceu ressalvas, sobre a renúncia de receitas, como se reproduz abaixo:</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r w:rsidRPr="00A71A9F">
        <w:rPr>
          <w:rFonts w:ascii="Times New Roman" w:eastAsia="Times New Roman" w:hAnsi="Times New Roman"/>
          <w:color w:val="000000"/>
          <w:sz w:val="24"/>
          <w:szCs w:val="24"/>
          <w:lang w:eastAsia="pt-BR"/>
        </w:rPr>
        <w:t>‘</w:t>
      </w:r>
      <w:proofErr w:type="gramStart"/>
      <w:r w:rsidRPr="00A71A9F">
        <w:rPr>
          <w:rFonts w:ascii="Times New Roman" w:eastAsia="Times New Roman" w:hAnsi="Times New Roman"/>
          <w:color w:val="000000"/>
          <w:sz w:val="24"/>
          <w:szCs w:val="24"/>
          <w:lang w:eastAsia="pt-BR"/>
        </w:rPr>
        <w:t>II.</w:t>
      </w:r>
      <w:proofErr w:type="gramEnd"/>
      <w:r w:rsidRPr="00A71A9F">
        <w:rPr>
          <w:rFonts w:ascii="Times New Roman" w:eastAsia="Times New Roman" w:hAnsi="Times New Roman"/>
          <w:color w:val="000000"/>
          <w:sz w:val="24"/>
          <w:szCs w:val="24"/>
          <w:lang w:eastAsia="pt-BR"/>
        </w:rPr>
        <w:t>2 - Renúncia de Receitas</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r w:rsidRPr="00A71A9F">
        <w:rPr>
          <w:rFonts w:ascii="Times New Roman" w:eastAsia="Times New Roman" w:hAnsi="Times New Roman"/>
          <w:color w:val="000000"/>
          <w:sz w:val="24"/>
          <w:szCs w:val="24"/>
          <w:lang w:eastAsia="pt-BR"/>
        </w:rPr>
        <w:t xml:space="preserve">Na concessão ou ampliação de incentivo ou benefício de natureza tributária da qual decorra renúncia de receita, o governo deverá atender o quanto determina o artigo 1.4 da lei de responsabilidade fiscal, comprovando, sempre, a estimativa do impacto </w:t>
      </w:r>
      <w:proofErr w:type="gramStart"/>
      <w:r w:rsidRPr="00A71A9F">
        <w:rPr>
          <w:rFonts w:ascii="Times New Roman" w:eastAsia="Times New Roman" w:hAnsi="Times New Roman"/>
          <w:color w:val="000000"/>
          <w:sz w:val="24"/>
          <w:szCs w:val="24"/>
          <w:lang w:eastAsia="pt-BR"/>
        </w:rPr>
        <w:t>orçamentário -financeiro</w:t>
      </w:r>
      <w:proofErr w:type="gramEnd"/>
      <w:r w:rsidRPr="00A71A9F">
        <w:rPr>
          <w:rFonts w:ascii="Times New Roman" w:eastAsia="Times New Roman" w:hAnsi="Times New Roman"/>
          <w:color w:val="000000"/>
          <w:sz w:val="24"/>
          <w:szCs w:val="24"/>
          <w:lang w:eastAsia="pt-BR"/>
        </w:rPr>
        <w:t xml:space="preserve"> no exercício em que o benefício fiscal iniciar sua vigência e também nos dois seguintes, conforme ali prescrito”.</w:t>
      </w:r>
    </w:p>
    <w:p w:rsidR="00A71A9F" w:rsidRPr="00A71A9F" w:rsidRDefault="00A71A9F" w:rsidP="00A71A9F">
      <w:pPr>
        <w:spacing w:after="0" w:line="360" w:lineRule="auto"/>
        <w:ind w:firstLine="567"/>
        <w:jc w:val="both"/>
        <w:rPr>
          <w:rFonts w:ascii="Times New Roman" w:eastAsia="Times New Roman" w:hAnsi="Times New Roman"/>
          <w:color w:val="000000"/>
          <w:sz w:val="24"/>
          <w:szCs w:val="24"/>
          <w:lang w:eastAsia="pt-BR"/>
        </w:rPr>
      </w:pPr>
      <w:r w:rsidRPr="00A71A9F">
        <w:rPr>
          <w:rFonts w:ascii="Times New Roman" w:eastAsia="Times New Roman" w:hAnsi="Times New Roman"/>
          <w:color w:val="000000"/>
          <w:sz w:val="24"/>
          <w:szCs w:val="24"/>
          <w:lang w:eastAsia="pt-BR"/>
        </w:rPr>
        <w:lastRenderedPageBreak/>
        <w:t xml:space="preserve">O Conselheiro Antonio Roque </w:t>
      </w:r>
      <w:proofErr w:type="spellStart"/>
      <w:r w:rsidRPr="00A71A9F">
        <w:rPr>
          <w:rFonts w:ascii="Times New Roman" w:eastAsia="Times New Roman" w:hAnsi="Times New Roman"/>
          <w:color w:val="000000"/>
          <w:sz w:val="24"/>
          <w:szCs w:val="24"/>
          <w:lang w:eastAsia="pt-BR"/>
        </w:rPr>
        <w:t>Citadini</w:t>
      </w:r>
      <w:proofErr w:type="spellEnd"/>
      <w:r w:rsidRPr="00A71A9F">
        <w:rPr>
          <w:rFonts w:ascii="Times New Roman" w:eastAsia="Times New Roman" w:hAnsi="Times New Roman"/>
          <w:color w:val="000000"/>
          <w:sz w:val="24"/>
          <w:szCs w:val="24"/>
          <w:lang w:eastAsia="pt-BR"/>
        </w:rPr>
        <w:t>, relator das Contas do Governador para o exercício de 2016 apontou que:</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proofErr w:type="gramStart"/>
      <w:r w:rsidRPr="00A71A9F">
        <w:rPr>
          <w:rFonts w:ascii="Times New Roman" w:eastAsia="Times New Roman" w:hAnsi="Times New Roman"/>
          <w:sz w:val="24"/>
          <w:szCs w:val="24"/>
          <w:lang w:eastAsia="pt-BR"/>
        </w:rPr>
        <w:t>“O governo precisará ser mais</w:t>
      </w:r>
      <w:proofErr w:type="gramEnd"/>
      <w:r w:rsidRPr="00A71A9F">
        <w:rPr>
          <w:rFonts w:ascii="Times New Roman" w:eastAsia="Times New Roman" w:hAnsi="Times New Roman"/>
          <w:sz w:val="24"/>
          <w:szCs w:val="24"/>
          <w:lang w:eastAsia="pt-BR"/>
        </w:rPr>
        <w:t xml:space="preserve"> transparente com as renúncias fiscais, enquanto o tribunal precisará se aperfeiçoar para em sua fiscalização trazer os dados, tanto quanto possível completos, que possibilitem tornar conhecidos os resultados dessas renúncias. constatei uma informação simplista, na LDO - Lei de Diretrizes Orçamentárias, indicando que a renúncia fiscal em 2016 tem previsão de R$ 15 bilhões, parte maior para ICMS e, para IPVA, menor, representando R$ 886 milhões.</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proofErr w:type="gramStart"/>
      <w:r w:rsidRPr="00A71A9F">
        <w:rPr>
          <w:rFonts w:ascii="Times New Roman" w:eastAsia="Times New Roman" w:hAnsi="Times New Roman"/>
          <w:sz w:val="24"/>
          <w:szCs w:val="24"/>
          <w:lang w:eastAsia="pt-BR"/>
        </w:rPr>
        <w:t>No relatório da fiscalização, porém, nenhum dado há sobre a matéria, e, é preciso que o tribunal fiscalize e tenha condições de acompanhar quais são os tipos dessa renuncia: se incentivos, isenções, imunidades, ou outros”</w:t>
      </w:r>
      <w:proofErr w:type="gramEnd"/>
      <w:r w:rsidRPr="00A71A9F">
        <w:rPr>
          <w:rFonts w:ascii="Times New Roman" w:eastAsia="Times New Roman" w:hAnsi="Times New Roman"/>
          <w:sz w:val="24"/>
          <w:szCs w:val="24"/>
          <w:lang w:eastAsia="pt-BR"/>
        </w:rPr>
        <w:t>.</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O apontamento do conselheiro do Tribunal de Contas que conclui por fazer ressalvas</w:t>
      </w:r>
      <w:proofErr w:type="gramStart"/>
      <w:r w:rsidRPr="00A71A9F">
        <w:rPr>
          <w:rFonts w:ascii="Times New Roman" w:eastAsia="Times New Roman" w:hAnsi="Times New Roman"/>
          <w:sz w:val="24"/>
          <w:szCs w:val="24"/>
          <w:lang w:eastAsia="pt-BR"/>
        </w:rPr>
        <w:t>, denota</w:t>
      </w:r>
      <w:proofErr w:type="gramEnd"/>
      <w:r w:rsidRPr="00A71A9F">
        <w:rPr>
          <w:rFonts w:ascii="Times New Roman" w:eastAsia="Times New Roman" w:hAnsi="Times New Roman"/>
          <w:sz w:val="24"/>
          <w:szCs w:val="24"/>
          <w:lang w:eastAsia="pt-BR"/>
        </w:rPr>
        <w:t xml:space="preserve"> a gravidade da falta de transparência do governo sobre a política de desonerações tributárias.</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Diante do exposto, torna-se imprescindível o fornecimento das informações requeridas.</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 xml:space="preserve">Sala das Sessões, em </w:t>
      </w:r>
      <w:proofErr w:type="gramStart"/>
      <w:r w:rsidRPr="00A71A9F">
        <w:rPr>
          <w:rFonts w:ascii="Times New Roman" w:eastAsia="Times New Roman" w:hAnsi="Times New Roman"/>
          <w:sz w:val="24"/>
          <w:szCs w:val="24"/>
          <w:lang w:eastAsia="pt-BR"/>
        </w:rPr>
        <w:t>18/09/2017</w:t>
      </w:r>
      <w:proofErr w:type="gramEnd"/>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a) Alencar Santana Braga</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 xml:space="preserve">No exercício de sua função </w:t>
      </w:r>
      <w:proofErr w:type="spellStart"/>
      <w:r w:rsidRPr="00A71A9F">
        <w:rPr>
          <w:rFonts w:ascii="Times New Roman" w:eastAsia="Times New Roman" w:hAnsi="Times New Roman"/>
          <w:sz w:val="24"/>
          <w:szCs w:val="24"/>
          <w:lang w:eastAsia="pt-BR"/>
        </w:rPr>
        <w:t>fiscalizatória</w:t>
      </w:r>
      <w:proofErr w:type="spellEnd"/>
      <w:r w:rsidRPr="00A71A9F">
        <w:rPr>
          <w:rFonts w:ascii="Times New Roman" w:eastAsia="Times New Roman" w:hAnsi="Times New Roman"/>
          <w:sz w:val="24"/>
          <w:szCs w:val="24"/>
          <w:lang w:eastAsia="pt-BR"/>
        </w:rPr>
        <w:t xml:space="preserve">, o Poder Legislativo não só pode como deve exigir do Poder Executivo o cumprimento da legislação vigente. Há necessidade da realização de diligências junto ao Poder Executivo, antes da aprovação ou rejeição das Contas de 2016, a fim de esclarecer se foi cumprido o que obriga o artigo 14 da LRF. </w:t>
      </w:r>
    </w:p>
    <w:p w:rsidR="00A71A9F" w:rsidRPr="00A71A9F" w:rsidRDefault="00A71A9F" w:rsidP="00A71A9F">
      <w:pPr>
        <w:spacing w:after="0" w:line="360" w:lineRule="auto"/>
        <w:ind w:firstLine="567"/>
        <w:jc w:val="both"/>
        <w:rPr>
          <w:rFonts w:ascii="Times New Roman" w:eastAsia="Times New Roman" w:hAnsi="Times New Roman"/>
          <w:i/>
          <w:sz w:val="24"/>
          <w:szCs w:val="24"/>
          <w:lang w:eastAsia="pt-BR"/>
        </w:rPr>
      </w:pPr>
      <w:r w:rsidRPr="00A71A9F">
        <w:rPr>
          <w:rFonts w:ascii="Times New Roman" w:eastAsia="Times New Roman" w:hAnsi="Times New Roman"/>
          <w:sz w:val="24"/>
          <w:szCs w:val="24"/>
          <w:lang w:eastAsia="pt-BR"/>
        </w:rPr>
        <w:t xml:space="preserve">Não podemos ser um Poder meramente homologatório das vontades do Executivo, nossas prerrogativas não podem ser usurpadas. </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Senhor Presidente, diante do exposto, requeremos a suspensão da tramitação do RGL 2616/16 - Balanço Geral do Estado 2016 - Contas do Governador até que seja suprido o que estabelece o artigo 14 da LRF c/c o artigo 174 §6º da Constituição Estadual e o artigo 135, I do Regimento Interno, e anulação dos atos até então praticados.</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r w:rsidRPr="00A71A9F">
        <w:rPr>
          <w:rFonts w:ascii="Times New Roman" w:eastAsia="Times New Roman" w:hAnsi="Times New Roman"/>
          <w:sz w:val="24"/>
          <w:szCs w:val="24"/>
          <w:lang w:eastAsia="pt-BR"/>
        </w:rPr>
        <w:t xml:space="preserve">Sala das Sessões, </w:t>
      </w:r>
    </w:p>
    <w:p w:rsidR="00A71A9F" w:rsidRPr="00A71A9F" w:rsidRDefault="00A71A9F" w:rsidP="00A71A9F">
      <w:pPr>
        <w:spacing w:after="0" w:line="360" w:lineRule="auto"/>
        <w:ind w:firstLine="567"/>
        <w:jc w:val="both"/>
        <w:rPr>
          <w:rFonts w:ascii="Times New Roman" w:eastAsia="Times New Roman" w:hAnsi="Times New Roman"/>
          <w:sz w:val="24"/>
          <w:szCs w:val="24"/>
          <w:lang w:eastAsia="pt-BR"/>
        </w:rPr>
      </w:pPr>
      <w:proofErr w:type="gramStart"/>
      <w:r w:rsidRPr="00A71A9F">
        <w:rPr>
          <w:rFonts w:ascii="Times New Roman" w:eastAsia="Times New Roman" w:hAnsi="Times New Roman"/>
          <w:sz w:val="24"/>
          <w:szCs w:val="24"/>
          <w:lang w:eastAsia="pt-BR"/>
        </w:rPr>
        <w:t>Deputado Alencar Santana - PT”</w:t>
      </w:r>
      <w:proofErr w:type="gramEnd"/>
    </w:p>
    <w:p w:rsidR="00A71A9F" w:rsidRDefault="00A71A9F" w:rsidP="00BE6E5A">
      <w:pPr>
        <w:jc w:val="center"/>
        <w:rPr>
          <w:b/>
          <w:bCs/>
          <w:color w:val="0000FF"/>
          <w:w w:val="200"/>
          <w:sz w:val="18"/>
          <w:szCs w:val="18"/>
        </w:rPr>
      </w:pPr>
    </w:p>
    <w:p w:rsidR="00C822DB" w:rsidRDefault="00C822DB"/>
    <w:sectPr w:rsidR="00C822DB" w:rsidSect="00C822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6E5A"/>
    <w:rsid w:val="00A71A9F"/>
    <w:rsid w:val="00BE6E5A"/>
    <w:rsid w:val="00C822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5A"/>
    <w:rPr>
      <w:rFonts w:ascii="Calibri" w:eastAsia="Calibri" w:hAnsi="Calibri" w:cs="Times New Roman"/>
    </w:rPr>
  </w:style>
  <w:style w:type="paragraph" w:styleId="Ttulo1">
    <w:name w:val="heading 1"/>
    <w:basedOn w:val="Normal"/>
    <w:next w:val="Normal"/>
    <w:link w:val="Ttulo1Char"/>
    <w:qFormat/>
    <w:rsid w:val="00A71A9F"/>
    <w:pPr>
      <w:keepNext/>
      <w:spacing w:before="240" w:after="60" w:line="240" w:lineRule="auto"/>
      <w:outlineLvl w:val="0"/>
    </w:pPr>
    <w:rPr>
      <w:rFonts w:asciiTheme="majorHAnsi" w:eastAsiaTheme="majorEastAsia" w:hAnsiTheme="majorHAnsi" w:cstheme="majorBidi"/>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Orador">
    <w:name w:val="Orador"/>
    <w:rsid w:val="00BE6E5A"/>
    <w:pPr>
      <w:widowControl w:val="0"/>
      <w:autoSpaceDE w:val="0"/>
      <w:autoSpaceDN w:val="0"/>
      <w:spacing w:before="180" w:after="0" w:line="240" w:lineRule="auto"/>
      <w:jc w:val="both"/>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71A9F"/>
    <w:rPr>
      <w:rFonts w:asciiTheme="majorHAnsi" w:eastAsiaTheme="majorEastAsia" w:hAnsiTheme="majorHAnsi" w:cstheme="majorBidi"/>
      <w:b/>
      <w:bCs/>
      <w:kern w:val="32"/>
      <w:sz w:val="32"/>
      <w:szCs w:val="32"/>
      <w:lang w:eastAsia="pt-BR"/>
    </w:rPr>
  </w:style>
  <w:style w:type="character" w:styleId="Hyperlink">
    <w:name w:val="Hyperlink"/>
    <w:basedOn w:val="Fontepargpadro"/>
    <w:uiPriority w:val="99"/>
    <w:semiHidden/>
    <w:unhideWhenUsed/>
    <w:rsid w:val="00A71A9F"/>
    <w:rPr>
      <w:color w:val="0000FF"/>
      <w:u w:val="single"/>
    </w:rPr>
  </w:style>
  <w:style w:type="paragraph" w:styleId="NormalWeb">
    <w:name w:val="Normal (Web)"/>
    <w:basedOn w:val="Normal"/>
    <w:uiPriority w:val="99"/>
    <w:semiHidden/>
    <w:unhideWhenUsed/>
    <w:rsid w:val="00A71A9F"/>
    <w:pP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uiPriority w:val="99"/>
    <w:semiHidden/>
    <w:unhideWhenUsed/>
    <w:rsid w:val="00A71A9F"/>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A71A9F"/>
    <w:rPr>
      <w:rFonts w:ascii="Consolas" w:eastAsia="Calibri" w:hAnsi="Consolas" w:cs="Consolas"/>
      <w:sz w:val="21"/>
      <w:szCs w:val="21"/>
    </w:rPr>
  </w:style>
  <w:style w:type="paragraph" w:customStyle="1" w:styleId="Corpodetexto21">
    <w:name w:val="Corpo de texto 21"/>
    <w:basedOn w:val="Normal"/>
    <w:uiPriority w:val="99"/>
    <w:rsid w:val="00A71A9F"/>
    <w:pPr>
      <w:tabs>
        <w:tab w:val="left" w:pos="0"/>
        <w:tab w:val="left" w:pos="144"/>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after="0" w:line="360" w:lineRule="auto"/>
      <w:ind w:firstLine="567"/>
      <w:jc w:val="both"/>
    </w:pPr>
    <w:rPr>
      <w:rFonts w:ascii="Times New Roman" w:eastAsia="Times New Roman" w:hAnsi="Times New Roman"/>
      <w:sz w:val="24"/>
      <w:szCs w:val="20"/>
      <w:lang w:eastAsia="pt-BR"/>
    </w:rPr>
  </w:style>
  <w:style w:type="paragraph" w:customStyle="1" w:styleId="m2113793608009694720ydp85dfb672msonormal">
    <w:name w:val="m_2113793608009694720ydp85dfb672msonormal"/>
    <w:basedOn w:val="Normal"/>
    <w:uiPriority w:val="99"/>
    <w:rsid w:val="00A71A9F"/>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55211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3" Type="http://schemas.openxmlformats.org/officeDocument/2006/relationships/webSettings" Target="webSettings.xml"/><Relationship Id="rId7" Type="http://schemas.openxmlformats.org/officeDocument/2006/relationships/hyperlink" Target="http://www.planalto.gov.br/ccivil_03/Constituicao/Constituicao.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Constituicao/Constituicao.htm" TargetMode="External"/><Relationship Id="rId11" Type="http://schemas.openxmlformats.org/officeDocument/2006/relationships/theme" Target="theme/theme1.xml"/><Relationship Id="rId5" Type="http://schemas.openxmlformats.org/officeDocument/2006/relationships/hyperlink" Target="http://www.planalto.gov.br/ccivil_03/leis/LEIS_2001/L10276.htm" TargetMode="External"/><Relationship Id="rId10" Type="http://schemas.openxmlformats.org/officeDocument/2006/relationships/fontTable" Target="fontTable.xml"/><Relationship Id="rId4" Type="http://schemas.openxmlformats.org/officeDocument/2006/relationships/hyperlink" Target="http://www.planalto.gov.br/ccivil_03/MPV/2159-70.htm" TargetMode="External"/><Relationship Id="rId9"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2618</Words>
  <Characters>14142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2017-12-21T21:53:00Z</dcterms:created>
  <dcterms:modified xsi:type="dcterms:W3CDTF">2017-12-21T22:51:00Z</dcterms:modified>
</cp:coreProperties>
</file>