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1BC0E" w14:textId="77777777" w:rsidR="00880D84" w:rsidRPr="00675030" w:rsidRDefault="00F925AA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RESPOSTA À QUESTÃO DE ORDEM APRESENTADA PELO NOBRE DEPUTADO MAURICI NA 130ª (CENTÉSIMA TRIGÉSIMA) SESSÃO ORDINÁRIA, REALIZADA EM 24 DE SETEMBRO DE 2025</w:t>
      </w:r>
    </w:p>
    <w:p w14:paraId="240815A5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65330E87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72C14059" w14:textId="77777777" w:rsidR="00880D84" w:rsidRPr="00675030" w:rsidRDefault="00675030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I</w:t>
      </w:r>
      <w:r w:rsidR="00880D84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925AA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Na 130ª (Centésima Trigésima) Sessão Ordinária, realizada no último dia 24 de setembro, o nobre Deputado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MAURICI </w:t>
      </w:r>
      <w:r w:rsidR="00F925AA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formulou questão da ordem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9E32BC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visando obter esclarecimento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s</w:t>
      </w:r>
      <w:r w:rsidR="009E32BC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acerca da interpretação do disposto no artigo 18, inciso II, alínea </w:t>
      </w:r>
      <w:r w:rsidR="009E32BC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b</w:t>
      </w:r>
      <w:r w:rsidR="009E32BC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do Regimento Interno, que determina 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constituir</w:t>
      </w:r>
      <w:r w:rsidR="009E32BC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atribuição do Presidente da Assembleia Legislativa “deixar de aceitar qualquer proposição, denúncia ou representação que não atenda às exigências regimentais ou constitucionais, cabendo recurso à Comissão de Constituição, Justiça e Redação”.</w:t>
      </w:r>
    </w:p>
    <w:p w14:paraId="7ACE7CAE" w14:textId="77777777" w:rsidR="009E32BC" w:rsidRPr="00675030" w:rsidRDefault="009E32BC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E922435" w14:textId="77777777" w:rsidR="009E32BC" w:rsidRPr="00675030" w:rsidRDefault="009E32BC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Aduz Sua Excelência que “deve ser observada a competência da União para, nos termos do artigo 21, I, da Constituição Federal, definir quais são os Estados que devem ser considerados efetivamente membros da comunidade internacional”, e que “as relações que possam ser estabelecidas por esta Casa de Leis, frequentemente designadas </w:t>
      </w:r>
      <w:proofErr w:type="spellStart"/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paradiplomacia</w:t>
      </w:r>
      <w:proofErr w:type="spellEnd"/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devem ser travadas considerando o quanto definido pela União, na qualidade de responsável pelas relações internacionais da República Federativa do Brasil”.</w:t>
      </w:r>
    </w:p>
    <w:p w14:paraId="2783EEFB" w14:textId="77777777" w:rsidR="009E32BC" w:rsidRPr="00675030" w:rsidRDefault="009E32BC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0B73D1FA" w14:textId="77777777" w:rsidR="0076420A" w:rsidRPr="00675030" w:rsidRDefault="00CB0356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 partir dessas considerações, 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sustent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 que “não cabe (...) que sejam acolhidas neste parlamento requerimentos, pleitos ou falas em manifesto e inequívoco arrepio da legislação federal, reconhecendo como membros da Comunidade Internacional </w:t>
      </w:r>
      <w:r w:rsidR="0076420A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entidades políticas subnacionais ou deixando de reconhecer aquelas que são objeto de reconhecimento pelas autoridades competentes”; e, “à guisa de exemplo, não é possível que sejam reconhecidas iniciativas ou manifestações formais que questionem a soberania da República Popular da China sobre qualquer parte de seu território, notadamente Taiwan”.</w:t>
      </w:r>
    </w:p>
    <w:p w14:paraId="754B1F89" w14:textId="77777777" w:rsidR="0076420A" w:rsidRPr="00675030" w:rsidRDefault="0076420A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E05C20E" w14:textId="77777777" w:rsidR="009E32BC" w:rsidRPr="00675030" w:rsidRDefault="0076420A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Conclui a questão de ordem solicitando que seja esclarecido o entendimento da Presidência quanto à aplicação da mencionada disposição regimental </w:t>
      </w: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(artigo 18, II, </w:t>
      </w:r>
      <w:r w:rsidR="00043B2D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“</w:t>
      </w: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b</w:t>
      </w:r>
      <w:r w:rsidR="00043B2D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”</w:t>
      </w: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“notadamente para que fique claro que [a] Presidência não aceitará, e tomará todas as providências regimentais para impedir que tenham trâmite na Casa propostas que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lastRenderedPageBreak/>
        <w:t xml:space="preserve">considerem como pressuposto quaisquer elementos de Direito Internacional Público que não correspondam àqueles que sejam reconhecidos pelo Itamaraty”. </w:t>
      </w:r>
      <w:r w:rsidR="00CB0356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9E32BC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1DF27385" w14:textId="77777777" w:rsidR="00880D84" w:rsidRPr="00675030" w:rsidRDefault="00880D84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</w:p>
    <w:p w14:paraId="79468663" w14:textId="77777777" w:rsidR="00880D84" w:rsidRPr="00675030" w:rsidRDefault="00880D84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Eis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em síntese, o objeto da questão de ordem, que a Presidência passa a responder.</w:t>
      </w:r>
    </w:p>
    <w:p w14:paraId="219E7256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6951625" w14:textId="77777777" w:rsidR="00880D84" w:rsidRPr="00675030" w:rsidRDefault="00675030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II</w:t>
      </w:r>
      <w:r w:rsidR="00880D84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Preliminarmente, é relevante apontar </w:t>
      </w:r>
      <w:r w:rsidR="00685CE2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que </w:t>
      </w:r>
      <w:r w:rsidR="00E733BE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 questão de ordem não identificou ou especificou qualquer propositura</w:t>
      </w:r>
      <w:r w:rsidR="00696CF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já apresentada na Legislatura em curso</w:t>
      </w:r>
      <w:r w:rsidR="00E733BE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em relação à qual, concretamente, </w:t>
      </w:r>
      <w:r w:rsidR="00696CF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tenha se verificado a alegada invasão de competência reservada à União.</w:t>
      </w:r>
    </w:p>
    <w:p w14:paraId="307F7F88" w14:textId="77777777" w:rsidR="00880D84" w:rsidRPr="00675030" w:rsidRDefault="00880D84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264C4213" w14:textId="77777777" w:rsidR="00696CFD" w:rsidRPr="00675030" w:rsidRDefault="00696CFD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Está-se, portanto, diante de uma genérica alegação, que enfoca, de forma especial, a questão atinente ao tratamento a ser dado às proposições que, de alguma forma, expressem posição divergente da oficialmente adotada pelo Brasil quanto ao reconhecimento da soberania da República Popular da China sobre Taiwan.</w:t>
      </w:r>
    </w:p>
    <w:p w14:paraId="568F992F" w14:textId="77777777" w:rsidR="00696CFD" w:rsidRPr="00675030" w:rsidRDefault="00696CFD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DF48873" w14:textId="77777777" w:rsidR="00880D84" w:rsidRPr="00675030" w:rsidRDefault="00696CFD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Sobre o tema, esta Presidência reputa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relevante tecer algumas ponderações e reafirmar algumas das balizas que tem norteado sua atuação.</w:t>
      </w:r>
    </w:p>
    <w:p w14:paraId="09237E98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31BC4664" w14:textId="77777777" w:rsidR="00DD6F4B" w:rsidRPr="00675030" w:rsidRDefault="00675030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III</w:t>
      </w:r>
      <w:r w:rsidR="00880D84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Co</w:t>
      </w:r>
      <w:r w:rsidR="00CD3D6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nforme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já relatado, a</w:t>
      </w:r>
      <w:r w:rsidR="00696CF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questão de ordem tem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como matéria de fundo a questão alusiva ao reconhecimento de Taiwan como Estado soberano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1EE53482" w14:textId="77777777" w:rsidR="00DD6F4B" w:rsidRPr="00675030" w:rsidRDefault="00DD6F4B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A1C3252" w14:textId="77777777" w:rsidR="00880D84" w:rsidRPr="00675030" w:rsidRDefault="00CD3D61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 matéria, como é sabido, 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insere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-se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na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órbita de competência da União — e, nesta, especificamente no rol de atribuições do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Presidente da República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—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a teor do que preceitua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m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o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s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artigo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s 21, inciso I, e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84, </w:t>
      </w:r>
      <w:r w:rsidR="00F30659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inciso 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VII, 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ambos 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da Constituição Federal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E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é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notório </w:t>
      </w:r>
      <w:r w:rsidR="00696CF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que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o Brasil está entre os Estados que </w:t>
      </w:r>
      <w:r w:rsidR="00880D84" w:rsidRPr="00675030">
        <w:rPr>
          <w:rFonts w:ascii="Arial" w:hAnsi="Arial" w:cs="Arial"/>
          <w:w w:val="98"/>
          <w:u w:val="single"/>
          <w14:textOutline w14:w="6350" w14:cap="rnd" w14:cmpd="sng" w14:algn="ctr">
            <w14:noFill/>
            <w14:prstDash w14:val="solid"/>
            <w14:bevel/>
          </w14:textOutline>
        </w:rPr>
        <w:t>não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reconhecem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Taiwan como Estado soberano,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considerando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-o como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província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integrante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da República Popular da China.</w:t>
      </w:r>
    </w:p>
    <w:p w14:paraId="06C35E7E" w14:textId="77777777" w:rsidR="00880D84" w:rsidRPr="00675030" w:rsidRDefault="00880D84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100CAE11" w14:textId="77777777" w:rsidR="00880D84" w:rsidRPr="00675030" w:rsidRDefault="00880D84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É certo, aliás, que essa posição foi reafirmada pelo Sr. Presidente da República por ocasião de visita </w:t>
      </w:r>
      <w:r w:rsidR="00CD3D6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oficial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 Pequim, em maio último; na “Declaração Conjunta” então emitida </w:t>
      </w:r>
      <w:r w:rsidR="00F30659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pelos dois Chefes de Estado,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lê-se:</w:t>
      </w:r>
    </w:p>
    <w:p w14:paraId="517E6EAF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7A69055D" w14:textId="77777777" w:rsidR="00880D84" w:rsidRPr="00675030" w:rsidRDefault="00880D84" w:rsidP="00043B2D">
      <w:pPr>
        <w:spacing w:after="0" w:line="260" w:lineRule="exact"/>
        <w:ind w:left="1134"/>
        <w:jc w:val="both"/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  <w:t xml:space="preserve">“11. A parte brasileira reiterou que adere firmemente ao princípio de uma Só China, </w:t>
      </w:r>
      <w:r w:rsidRPr="00675030">
        <w:rPr>
          <w:rFonts w:ascii="Arial" w:hAnsi="Arial" w:cs="Arial"/>
          <w:w w:val="90"/>
          <w:sz w:val="19"/>
          <w:szCs w:val="19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reconhece que só existe uma China no mundo e que Taiwan é uma parte inseparável do território chinês enquanto o Governo da República Popular da China é o único governo legal que representa toda </w:t>
      </w:r>
      <w:r w:rsidRPr="00675030">
        <w:rPr>
          <w:rFonts w:ascii="Arial" w:hAnsi="Arial" w:cs="Arial"/>
          <w:w w:val="90"/>
          <w:sz w:val="19"/>
          <w:szCs w:val="19"/>
          <w:u w:val="single"/>
          <w14:textOutline w14:w="6350" w14:cap="rnd" w14:cmpd="sng" w14:algn="ctr">
            <w14:noFill/>
            <w14:prstDash w14:val="solid"/>
            <w14:bevel/>
          </w14:textOutline>
        </w:rPr>
        <w:lastRenderedPageBreak/>
        <w:t>a China</w:t>
      </w:r>
      <w:r w:rsidRPr="00675030"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  <w:t>. A parte brasileira apoia os esforços da China para realizar a reunificação nacional pacífica. A parte chinesa manifestou grande apreço a esse respeito.”</w:t>
      </w:r>
    </w:p>
    <w:p w14:paraId="29FFC02A" w14:textId="77777777" w:rsidR="00880D84" w:rsidRPr="00675030" w:rsidRDefault="00880D84" w:rsidP="00043B2D">
      <w:pPr>
        <w:spacing w:after="0" w:line="260" w:lineRule="exact"/>
        <w:ind w:left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  <w:t>(</w:t>
      </w:r>
      <w:r w:rsidR="00123633" w:rsidRPr="00675030"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  <w:t>D</w:t>
      </w:r>
      <w:r w:rsidRPr="00675030"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  <w:t xml:space="preserve">isponível em </w:t>
      </w:r>
      <w:hyperlink r:id="rId6" w:history="1">
        <w:r w:rsidRPr="00675030">
          <w:rPr>
            <w:rStyle w:val="Hyperlink"/>
            <w:rFonts w:ascii="Arial" w:hAnsi="Arial" w:cs="Arial"/>
            <w:w w:val="90"/>
            <w:sz w:val="19"/>
            <w:szCs w:val="19"/>
            <w14:textOutline w14:w="6350" w14:cap="rnd" w14:cmpd="sng" w14:algn="ctr">
              <w14:noFill/>
              <w14:prstDash w14:val="solid"/>
              <w14:bevel/>
            </w14:textOutline>
          </w:rPr>
          <w:t>https://www.gov.br/mre/pt-br/canais_atendimento/imprensa/notas-a-imprensa/declaracao-conjunta-por-ocasiao-da-visita-de-estado-do-presidente-luiz-inacio-lula-da-silva-a-pequim-12-e-13-de-maio-de-2025</w:t>
        </w:r>
      </w:hyperlink>
      <w:r w:rsidRPr="00675030"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  <w:t xml:space="preserve">. Acesso em </w:t>
      </w:r>
      <w:r w:rsidR="00696CFD" w:rsidRPr="00675030"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  <w:t>26</w:t>
      </w:r>
      <w:r w:rsidRPr="00675030">
        <w:rPr>
          <w:rFonts w:ascii="Arial" w:hAnsi="Arial" w:cs="Arial"/>
          <w:w w:val="90"/>
          <w:sz w:val="19"/>
          <w:szCs w:val="19"/>
          <w14:textOutline w14:w="6350" w14:cap="rnd" w14:cmpd="sng" w14:algn="ctr">
            <w14:noFill/>
            <w14:prstDash w14:val="solid"/>
            <w14:bevel/>
          </w14:textOutline>
        </w:rPr>
        <w:t>.set.2025. Grifou-se)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  </w:t>
      </w:r>
    </w:p>
    <w:p w14:paraId="537BDD01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1DA4FB8" w14:textId="77777777" w:rsidR="00880D84" w:rsidRPr="00675030" w:rsidRDefault="00675030" w:rsidP="00880D84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IV</w:t>
      </w:r>
      <w:r w:rsidR="00880D84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O ponto sobre o qual </w:t>
      </w:r>
      <w:r w:rsidR="00696CF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as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considerações e</w:t>
      </w:r>
      <w:r w:rsidR="00696CF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indagações do nobre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Deputado MAURICI </w:t>
      </w:r>
      <w:r w:rsidR="00696CF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nos levam a refletir </w:t>
      </w:r>
      <w:r w:rsidR="00DD6F4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—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e cujo desate revela-se indispensável para</w:t>
      </w:r>
      <w:r w:rsidR="00696CF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a orientação a ser firmada na presente resposta </w:t>
      </w:r>
      <w:r w:rsidR="00CF687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—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</w:t>
      </w:r>
      <w:r w:rsidR="00CF687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centra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-se na seguinte questão: o fato de a República Federativa do Brasil não reconhecer Taiwan</w:t>
      </w:r>
      <w:r w:rsidR="005334F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(ou outro ente)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como Estado soberano </w:t>
      </w:r>
      <w:r w:rsidR="00B7400F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obsta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 existência/tramitação de proposições legislativas que exprimam</w:t>
      </w:r>
      <w:r w:rsidR="00B2784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em relação a essa posição oficial, crítica ou divergência?</w:t>
      </w:r>
    </w:p>
    <w:p w14:paraId="3F313650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DFD6730" w14:textId="77777777" w:rsidR="00880D84" w:rsidRPr="00675030" w:rsidRDefault="00880D84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No sentir desta Presidência, tal </w:t>
      </w:r>
      <w:r w:rsidR="00977E75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pergunta </w:t>
      </w:r>
      <w:r w:rsidR="00B7400F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deve ser respondida </w:t>
      </w:r>
      <w:r w:rsidR="00B7400F" w:rsidRPr="00675030">
        <w:rPr>
          <w:rFonts w:ascii="Arial" w:hAnsi="Arial" w:cs="Arial"/>
          <w:w w:val="98"/>
          <w:u w:val="single"/>
          <w14:textOutline w14:w="6350" w14:cap="rnd" w14:cmpd="sng" w14:algn="ctr">
            <w14:noFill/>
            <w14:prstDash w14:val="solid"/>
            <w14:bevel/>
          </w14:textOutline>
        </w:rPr>
        <w:t>negativamente</w:t>
      </w:r>
      <w:r w:rsidR="00977E75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</w:p>
    <w:p w14:paraId="5D6C8B41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28272F41" w14:textId="77777777" w:rsidR="00880D84" w:rsidRPr="00675030" w:rsidRDefault="00675030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V</w:t>
      </w:r>
      <w:r w:rsidR="002147C4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977E75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É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da essência do Parlamento, nas democracias, constituir-se em espaço plural por excelência, no qual diferentes concepções de sociedade, visões de mundo e enunciação de convicções e valores político-ideológicos podem e devem coexistir e conviver, produzindo e estimulando a interação, o diálogo, o debate e, </w:t>
      </w:r>
      <w:r w:rsidR="00B7400F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não raro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o embate. </w:t>
      </w:r>
      <w:r w:rsidR="009A363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E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stes (</w:t>
      </w:r>
      <w:r w:rsidR="00880D84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debate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e </w:t>
      </w:r>
      <w:r w:rsidR="00880D84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embate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) são bem-vindos, contanto que se desenvolvam respeitosamente, com observância dos limites impostos pela civilidade e pelo decoro</w:t>
      </w:r>
      <w:r w:rsidR="00B7400F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; </w:t>
      </w:r>
      <w:r w:rsidR="009A363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e, </w:t>
      </w:r>
      <w:r w:rsidR="00B7400F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para que assim seja, há instrumentos regimentais de mediação</w:t>
      </w:r>
      <w:r w:rsidR="009A363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B7400F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024CA702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1AFBBC3" w14:textId="77777777" w:rsidR="00880D84" w:rsidRPr="00675030" w:rsidRDefault="00880D84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Nessa perspectiva, se é certo que o Parlamento há de ser espaço que possibilite a construção de soluções e consensos, não menos certo é que há de ser, igualmente, espaço que propicie a explicitação (de forma civilizada e pacífica, reafirme-se) da divergência, do desacordo, do dissenso — </w:t>
      </w:r>
      <w:r w:rsidR="009A363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trata-se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nas democracias, </w:t>
      </w:r>
      <w:r w:rsidR="009A363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de duas facetas da atividade parlamentar, ambas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plenamente </w:t>
      </w:r>
      <w:r w:rsidR="009A363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legítimas e necessárias, e, mais do que isso, mutuamente complementares.</w:t>
      </w:r>
    </w:p>
    <w:p w14:paraId="5DC2FEFB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1CBCDD8B" w14:textId="77777777" w:rsidR="00880D84" w:rsidRPr="00675030" w:rsidRDefault="00880D84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Portanto, não deve o Parlamento, sob pena de negar sua própria essência, prestar-se a chancelar silenciamentos ou a instaurar a interdição do debate.</w:t>
      </w:r>
    </w:p>
    <w:p w14:paraId="148BE8BA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66BE922" w14:textId="77777777" w:rsidR="002147C4" w:rsidRPr="00675030" w:rsidRDefault="00880D84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lastRenderedPageBreak/>
        <w:t xml:space="preserve">E, com a devida vênia, </w:t>
      </w:r>
      <w:r w:rsidR="005334F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 prevalência do ponto de vista exteriorizado na argumentação desenvolvida na questão de ordem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“sub examine” implicaria interditar, na </w:t>
      </w:r>
      <w:r w:rsidR="00CD3D6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Assembleia Legislativa,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o debate em torno de um relevante e sensível tema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04DB94B9" w14:textId="77777777" w:rsidR="002147C4" w:rsidRPr="00675030" w:rsidRDefault="002147C4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76E528BD" w14:textId="77777777" w:rsidR="00880D84" w:rsidRPr="00675030" w:rsidRDefault="00675030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VI</w:t>
      </w:r>
      <w:r w:rsidR="002147C4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A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despeito de a definição sobre esse tema não caber ao Poder Legislativo estadual</w:t>
      </w:r>
      <w:r w:rsidR="002147C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(já que, consoante enfatizado, compete à União “manter relações com Estados estrangeiros e participar de organizações internacionais”, e ao Presidente da República “manter relações com Estados estrangeiros e acreditar seus representantes diplomáticos”</w:t>
      </w:r>
      <w:r w:rsidR="00685CE2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)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deve-se garantir a possibilidade de ser debatido nesta Casa, não apenas em pronunciamentos, como também por meio da apresentação de proposições, que também consubstancia atividade típica do exercício do mandato parlamentar.</w:t>
      </w:r>
    </w:p>
    <w:p w14:paraId="5058C8F4" w14:textId="77777777" w:rsidR="002147C4" w:rsidRPr="00675030" w:rsidRDefault="002147C4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792220DD" w14:textId="77777777" w:rsidR="002147C4" w:rsidRPr="00675030" w:rsidRDefault="002147C4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Aliás, não podemos deixar de fazer o registro histórico do importante papel que </w:t>
      </w:r>
      <w:r w:rsidR="00685CE2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Assembleia</w:t>
      </w:r>
      <w:r w:rsidR="00685CE2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Legislativa paulista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desempenhou na última década do século 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XX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em assunto que, embora se inserisse na esfera de competência da União, foi objeto de relevantes iniciativas legislativas neste Parlamento estadual, algumas delas capit</w:t>
      </w:r>
      <w:r w:rsidR="00FD4D9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aneadas, diga-se de passagem, por expoentes d</w:t>
      </w:r>
      <w:r w:rsidR="00DD09B9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as agremiações</w:t>
      </w:r>
      <w:r w:rsidR="00FD4D9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que hoje integram a Federação partidária em que se insere o ilustre proponente da questão de ordem.</w:t>
      </w:r>
    </w:p>
    <w:p w14:paraId="2D53B187" w14:textId="77777777" w:rsidR="00FD4D92" w:rsidRPr="00675030" w:rsidRDefault="00FD4D92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7ECE499A" w14:textId="77777777" w:rsidR="00FD4D92" w:rsidRPr="00675030" w:rsidRDefault="00FD4D92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Referimo-nos à questão de Timor Leste, a respeito da qual, apenas a título exemplificativo, citam-se abaixo algumas das proposições legislativas então apresentadas:</w:t>
      </w:r>
    </w:p>
    <w:p w14:paraId="4AEA96AD" w14:textId="77777777" w:rsidR="004D64BC" w:rsidRPr="00675030" w:rsidRDefault="004D64BC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24A33CE5" w14:textId="77777777" w:rsidR="00FD4D92" w:rsidRPr="00675030" w:rsidRDefault="00FD4D92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a)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Moção nº 106/1997, de autoria do nobre Deputado RENATO SIMÕES, que “apel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para o Sr. Presidente da República no sentido de fazer gestões junto à Organização das Nações Unidas (ONU), para que seja atendida a solicitação do Senhor José Ramos Horta, líder do movimento pela independência do Timor Leste”;</w:t>
      </w:r>
    </w:p>
    <w:p w14:paraId="2563F310" w14:textId="77777777" w:rsidR="00FD4D92" w:rsidRPr="00675030" w:rsidRDefault="00FD4D92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b)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Moção nº 237/1997, de autoria do nobre Deputado JAMIL MURAD, que “apel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para o Sr. Presidente da República no sentido de determinar que o Ministério das Relações Exteriores adote as medidas, que especifica, objetivando a defesa do direito à liberdade e à autodeterminação do Timor Leste”;</w:t>
      </w:r>
    </w:p>
    <w:p w14:paraId="06706670" w14:textId="77777777" w:rsidR="00FD4D92" w:rsidRPr="00675030" w:rsidRDefault="00FD4D92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c)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Moção nº 309/1997, de autoria do nobre Deputado RUI FALCÃO, que “ape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la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para o Sr. Presidente da República no sentido de assumir a luta pela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lastRenderedPageBreak/>
        <w:t>autodeterminação e independência do Timor Leste, encampando as iniciativas que especifica”;</w:t>
      </w:r>
    </w:p>
    <w:p w14:paraId="21167DF4" w14:textId="77777777" w:rsidR="00880D84" w:rsidRPr="00675030" w:rsidRDefault="00FD4D92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d)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Indicação nº 243/1998, de autoria do nobre Deputado RUI FALCÃO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que “indica ao Sr. Governador imprimir e distribuir a todos os alunos da rede escolar pública, uma cartilha descrevendo a história do Timor Leste e informando a juventude sobre a luta do povo maubere pela liberdade e autodeterminação”.</w:t>
      </w:r>
    </w:p>
    <w:p w14:paraId="76EAB402" w14:textId="77777777" w:rsidR="00FD4D92" w:rsidRPr="00675030" w:rsidRDefault="00FD4D92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e)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Moção nº 47/1999, de autoria do nobre Deputado PAULO TEIXEIRA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que “apela para o Sr. Presidente da República e do Congresso Nacional no sentido de solicitar à Organização das Nações Unidas - ONU, que o Conselho Nacional de Resistência Timorense participe das negociações para a independência do Timor Leste”.</w:t>
      </w:r>
    </w:p>
    <w:p w14:paraId="25089DAD" w14:textId="77777777" w:rsidR="00FD4D92" w:rsidRPr="00675030" w:rsidRDefault="00FD4D92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5695AD85" w14:textId="77777777" w:rsidR="00880D84" w:rsidRPr="00675030" w:rsidRDefault="00675030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VII</w:t>
      </w:r>
      <w:r w:rsidR="00FD4D92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FD4D9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Deve ser posto em relevo, 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ainda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que o acolhimento da pretensão</w:t>
      </w:r>
      <w:r w:rsidR="00CD3D6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veiculada </w:t>
      </w:r>
      <w:r w:rsidR="005334F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pelo eminente autor da questão de ordem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teria como efeito reflexo o esvaziamento do importante papel desempenhado pelas Comissões Permanentes da Casa, incluindo, por evidente, a de Relações Internacionais, </w:t>
      </w:r>
      <w:r w:rsidR="005334F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que,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frise-se,</w:t>
      </w:r>
      <w:r w:rsidR="005334F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foi presidida por Sua Excelência no primeiro biênio desta Legislatura. </w:t>
      </w:r>
    </w:p>
    <w:p w14:paraId="472E9F95" w14:textId="77777777" w:rsidR="005334F1" w:rsidRPr="00675030" w:rsidRDefault="005334F1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62ACEFEB" w14:textId="77777777" w:rsidR="00880D84" w:rsidRPr="00675030" w:rsidRDefault="008A18E1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Uma das linhas-mestras de atuação desta Presidência tem sido o reconhecimento e a valorização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de forma consistente e permanente,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do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importante papel que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s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Comissões Permanentes</w:t>
      </w:r>
      <w:r w:rsidR="00CD3D6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Órgãos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especializados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que são,</w:t>
      </w:r>
      <w:r w:rsidR="00CD3D6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devem ter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como “</w:t>
      </w:r>
      <w:proofErr w:type="spellStart"/>
      <w:r w:rsidR="00B2784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locus</w:t>
      </w:r>
      <w:proofErr w:type="spellEnd"/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” político-institucional de desenvolvimento de debate aprofundado sobre </w:t>
      </w:r>
      <w:r w:rsidR="003204A5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as matérias que lhes são afetas.</w:t>
      </w:r>
    </w:p>
    <w:p w14:paraId="1F7CED94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16B30D20" w14:textId="77777777" w:rsidR="00880D84" w:rsidRPr="00675030" w:rsidRDefault="00675030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VIII</w:t>
      </w:r>
      <w:r w:rsidR="00880D84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.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Cabe </w:t>
      </w:r>
      <w:r w:rsidR="00CD3D6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referir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</w:t>
      </w:r>
      <w:r w:rsidR="00CD3D6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por derradeiro,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que em outras Casas Legislativas</w:t>
      </w:r>
      <w:r w:rsidR="00977E75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têm sido admitidas proposituras que, de certa forma, se lastreiam em uma visão crítica à oficialmente adotada pelo Brasil quanto a Taiwan, ou que defendem reconhecer a Taiwan a possibilidade de um maior protagonismo no cenário internacional.</w:t>
      </w:r>
    </w:p>
    <w:p w14:paraId="6E0B4D9A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42AD0A00" w14:textId="77777777" w:rsidR="00880D84" w:rsidRPr="00675030" w:rsidRDefault="00880D84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Apenas a título exemplificativo, citam-se as seguintes proposições, todas apresentadas na Câmara dos Deputados:</w:t>
      </w:r>
    </w:p>
    <w:p w14:paraId="036581FD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68386E2C" w14:textId="77777777" w:rsidR="00880D84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I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NC 1613/2022 </w:t>
      </w:r>
      <w:r w:rsidR="002E57D2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(Indicação)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-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Sugere o envio de Indicação ao Ministério do Meio Ambiente para o encaminhamento da lista de </w:t>
      </w:r>
      <w:proofErr w:type="spellStart"/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apoiamento</w:t>
      </w:r>
      <w:proofErr w:type="spellEnd"/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em favor da participação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lastRenderedPageBreak/>
        <w:t>de Taiwan na 27ª Conferência das Partes da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Convenção-Quadro das Nações Unidas sobre Mudanças Climáticas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(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UNFCCC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)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;</w:t>
      </w:r>
    </w:p>
    <w:p w14:paraId="57E76EB7" w14:textId="77777777" w:rsidR="00880D84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EQ 1501/2023 </w:t>
      </w:r>
      <w:r w:rsidR="002E57D2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(R</w:t>
      </w:r>
      <w:r w:rsidR="00880D84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equerimento de Moção</w:t>
      </w:r>
      <w:r w:rsidR="002E57D2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)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-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Requer a manifestação favorável à participação da República da China (Taiwan), na condição de observador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na 76ª Assembleia Mundial da Saúde da Organização Mundial da Saúde 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(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OMS</w:t>
      </w:r>
      <w:r w:rsidR="002E57D2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)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;</w:t>
      </w:r>
    </w:p>
    <w:p w14:paraId="648F4F6D" w14:textId="77777777" w:rsidR="00797BAD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797BA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 2875/2023 </w:t>
      </w:r>
      <w:r w:rsidR="00797BAD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(Requerimento de Registro </w:t>
      </w: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de Frente Parlamentar na Câmara dos Deputados)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- Requer o registro da Frente Parlamentar Brasil-Taiwan;</w:t>
      </w:r>
    </w:p>
    <w:p w14:paraId="68E6E67B" w14:textId="77777777" w:rsidR="00880D84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EQ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19/2024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CREDN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80D84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(Requerimento de Moção)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-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Requer a aprovação de moção de apoio e solidariedade ao povo de Taiwan, afetados pelo terremoto ocorrido no dia 3 de abril de 2024;</w:t>
      </w:r>
    </w:p>
    <w:p w14:paraId="7D24ED5F" w14:textId="77777777" w:rsidR="00880D84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 35/2024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A1AAB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(Requerimento de Moção)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– Requer, nos termos do artigo 117 do Regimento Interno da Câmara dos Deputados, ouvido o Plenário da Comissão de Relações Exteriores e Defesa Nacional, a Moção de apoio a Ilha Formosa para compor uma cadeira como observador na OMS (Organização Mundial de Saúde)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;</w:t>
      </w:r>
    </w:p>
    <w:p w14:paraId="0CB35CE9" w14:textId="77777777" w:rsidR="00880D84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EQ 48/2024 </w:t>
      </w:r>
      <w:r w:rsidR="00880D84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(Requerimento de Moção)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-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Requer Moção de louvor a Taiwan pela doação de US$ 200 mil em ajuda humanitária para a população gaúcha atingida pelas chuvas no Rio Grande do Sul entre os meses de abril e maio de 2024;</w:t>
      </w:r>
    </w:p>
    <w:p w14:paraId="580012D0" w14:textId="77777777" w:rsidR="00880D84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 1428/2024 </w:t>
      </w:r>
      <w:r w:rsidR="00880D84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(Requerimento de Moção)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-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Requer aprovação de Moção de Apoio e Solidariedade ao povo de Taiwan, afetado pelo terremoto ocorrido no dia 3 de abril de 2024;</w:t>
      </w:r>
    </w:p>
    <w:p w14:paraId="15DE89EF" w14:textId="77777777" w:rsidR="00880D84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EQ 2291/2024 </w:t>
      </w:r>
      <w:r w:rsidR="00FA1AAB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(Requerimento de Voto de regozijo ou louvor)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- 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Requer Moção de louvor a Taiwan pela doação de US$ 200 mil em ajuda humanitária para a população gaúcha atingida pelas chuvas no Rio Grande do Sul entre os meses de abril e maio de 2024;</w:t>
      </w:r>
    </w:p>
    <w:p w14:paraId="155E5D89" w14:textId="77777777" w:rsidR="00880D84" w:rsidRPr="00675030" w:rsidRDefault="00547C17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•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 4425/2024 </w:t>
      </w:r>
      <w:r w:rsidR="00880D84"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(Requerimento de Moção)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A1AAB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-</w:t>
      </w:r>
      <w:r w:rsidR="00880D84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Requer aprovação de Moção de Louvor a Taiwan pela doação de recursos financeiros para ajuda humanitária à população atingida pelas chuvas no Rio Grande do Sul entre os meses de abril e maio de 2024.</w:t>
      </w:r>
    </w:p>
    <w:p w14:paraId="6036FDBA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38B0A1D0" w14:textId="77777777" w:rsidR="00880D84" w:rsidRPr="00675030" w:rsidRDefault="00880D84" w:rsidP="00514B52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Também a título ilustrativo, menciona-se o Requerimento 5434/2023, apresentado </w:t>
      </w:r>
      <w:r w:rsidR="00547C17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perante a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Assembleia Legislativa do Estado de Minas Gerais, que “requer seja formulada manifestação de repúdio ao Parlamento </w:t>
      </w:r>
      <w:proofErr w:type="spellStart"/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Centroamericano</w:t>
      </w:r>
      <w:proofErr w:type="spellEnd"/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547C17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(</w:t>
      </w:r>
      <w:proofErr w:type="spellStart"/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Parlacen</w:t>
      </w:r>
      <w:proofErr w:type="spellEnd"/>
      <w:r w:rsidR="00547C17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)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por retirar de Taiwan a condição de membro observador internacional desse parlamento e conceder essa condição à China”.</w:t>
      </w:r>
    </w:p>
    <w:p w14:paraId="6B3C68D9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078F4732" w14:textId="77777777" w:rsidR="00880D84" w:rsidRPr="00675030" w:rsidRDefault="00675030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IX</w:t>
      </w:r>
      <w:r w:rsidR="00880D84" w:rsidRPr="00675030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. </w:t>
      </w:r>
      <w:r w:rsidR="005334F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São estes os esclarecimentos que cabia a esta Presidência fazer, em resposta à questão de ordem suscitada em 24 de setembro </w:t>
      </w:r>
      <w:proofErr w:type="spellStart"/>
      <w:r w:rsidR="005334F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p.p</w:t>
      </w:r>
      <w:proofErr w:type="spellEnd"/>
      <w:r w:rsidR="005334F1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. pelo nobre Deputado MAURICI.</w:t>
      </w:r>
    </w:p>
    <w:p w14:paraId="1EAAEE1B" w14:textId="77777777" w:rsidR="005334F1" w:rsidRPr="00675030" w:rsidRDefault="005334F1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1E7D4A57" w14:textId="77777777" w:rsidR="005334F1" w:rsidRPr="00675030" w:rsidRDefault="005334F1" w:rsidP="00977E75">
      <w:pPr>
        <w:spacing w:after="0" w:line="340" w:lineRule="exact"/>
        <w:ind w:firstLine="1134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Caso Sua Excelência tenha identificado 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—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ou venha a identificar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—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proposições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em relação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às quais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 seu ver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a Presidência deveria ter aplicado a norma contida na alínea </w:t>
      </w:r>
      <w:r w:rsidRPr="00675030">
        <w:rPr>
          <w:rFonts w:ascii="Arial" w:hAnsi="Arial" w:cs="Arial"/>
          <w:i/>
          <w:w w:val="98"/>
          <w14:textOutline w14:w="6350" w14:cap="rnd" w14:cmpd="sng" w14:algn="ctr">
            <w14:noFill/>
            <w14:prstDash w14:val="solid"/>
            <w14:bevel/>
          </w14:textOutline>
        </w:rPr>
        <w:t>b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do inciso II do artigo 18 do Regimento Interno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(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e desde que, evidentemente, venha a formular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questionamento por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DF1A16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v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ia regimental</w:t>
      </w:r>
      <w:r w:rsidR="00DF1A16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mente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DF1A16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apropriada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,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com a devida especificação/identificação da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s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proposiç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ões)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a Presidência decerto não se furtará do dever de apreciar o</w:t>
      </w:r>
      <w:r w:rsidR="00AE0B13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s casos concretos que lhe forem submetidos</w:t>
      </w:r>
      <w:r w:rsidR="00DF1A16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, levando em consideração as respectivas especificidades e circunstâncias.</w:t>
      </w:r>
      <w:r w:rsidR="00043B2D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  </w:t>
      </w:r>
    </w:p>
    <w:p w14:paraId="4799BEDA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703B8377" w14:textId="1A309030" w:rsidR="00880D84" w:rsidRDefault="00043B2D" w:rsidP="00977E75">
      <w:pPr>
        <w:spacing w:after="0" w:line="340" w:lineRule="exact"/>
        <w:jc w:val="center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Assembleia Legislativa, em</w:t>
      </w:r>
      <w:r w:rsidR="00DF1A16" w:rsidRPr="00675030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8104CF"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07/10/2025.</w:t>
      </w:r>
    </w:p>
    <w:p w14:paraId="541843D3" w14:textId="092D6C86" w:rsidR="009F0729" w:rsidRDefault="009F0729" w:rsidP="00977E75">
      <w:pPr>
        <w:spacing w:after="0" w:line="340" w:lineRule="exact"/>
        <w:jc w:val="center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2EA9122B" w14:textId="272AD786" w:rsidR="009F0729" w:rsidRDefault="009F0729" w:rsidP="00977E75">
      <w:pPr>
        <w:spacing w:after="0" w:line="340" w:lineRule="exact"/>
        <w:jc w:val="center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319AEDFC" w14:textId="6288CDB1" w:rsidR="009F0729" w:rsidRPr="009F0729" w:rsidRDefault="009F0729" w:rsidP="00977E75">
      <w:pPr>
        <w:spacing w:after="0" w:line="340" w:lineRule="exact"/>
        <w:jc w:val="center"/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 w:rsidRPr="009F0729">
        <w:rPr>
          <w:rFonts w:ascii="Arial" w:hAnsi="Arial" w:cs="Arial"/>
          <w:b/>
          <w:w w:val="98"/>
          <w14:textOutline w14:w="6350" w14:cap="rnd" w14:cmpd="sng" w14:algn="ctr">
            <w14:noFill/>
            <w14:prstDash w14:val="solid"/>
            <w14:bevel/>
          </w14:textOutline>
        </w:rPr>
        <w:t>ANDRÉ DO PRADO</w:t>
      </w:r>
    </w:p>
    <w:p w14:paraId="3547E175" w14:textId="197CF5A8" w:rsidR="009F0729" w:rsidRPr="00675030" w:rsidRDefault="009F0729" w:rsidP="00977E75">
      <w:pPr>
        <w:spacing w:after="0" w:line="340" w:lineRule="exact"/>
        <w:jc w:val="center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  <w:t>Presidente</w:t>
      </w:r>
    </w:p>
    <w:p w14:paraId="362F5701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14:paraId="5129950F" w14:textId="77777777" w:rsidR="00880D84" w:rsidRPr="00675030" w:rsidRDefault="00880D84" w:rsidP="00880D84">
      <w:pPr>
        <w:spacing w:after="0" w:line="340" w:lineRule="exact"/>
        <w:jc w:val="both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p w14:paraId="4348362B" w14:textId="1B6559BE" w:rsidR="00E17994" w:rsidRDefault="00E17994" w:rsidP="00E17994">
      <w:pPr>
        <w:pStyle w:val="NormalWeb"/>
        <w:jc w:val="center"/>
      </w:pPr>
    </w:p>
    <w:p w14:paraId="4452E1AB" w14:textId="77777777" w:rsidR="00880D84" w:rsidRPr="00675030" w:rsidRDefault="00880D84" w:rsidP="009A363D">
      <w:pPr>
        <w:spacing w:after="0" w:line="340" w:lineRule="exact"/>
        <w:jc w:val="center"/>
        <w:rPr>
          <w:rFonts w:ascii="Arial" w:hAnsi="Arial" w:cs="Arial"/>
          <w:w w:val="98"/>
          <w14:textOutline w14:w="6350" w14:cap="rnd" w14:cmpd="sng" w14:algn="ctr">
            <w14:noFill/>
            <w14:prstDash w14:val="solid"/>
            <w14:bevel/>
          </w14:textOutline>
        </w:rPr>
      </w:pPr>
    </w:p>
    <w:sectPr w:rsidR="00880D84" w:rsidRPr="00675030" w:rsidSect="00880D84">
      <w:headerReference w:type="default" r:id="rId7"/>
      <w:footerReference w:type="default" r:id="rId8"/>
      <w:pgSz w:w="11906" w:h="16838"/>
      <w:pgMar w:top="1135" w:right="1701" w:bottom="1418" w:left="1701" w:header="708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C9116" w14:textId="77777777" w:rsidR="006D6ABE" w:rsidRDefault="006D6ABE">
      <w:pPr>
        <w:spacing w:after="0" w:line="240" w:lineRule="auto"/>
      </w:pPr>
      <w:r>
        <w:separator/>
      </w:r>
    </w:p>
  </w:endnote>
  <w:endnote w:type="continuationSeparator" w:id="0">
    <w:p w14:paraId="67B5BFBC" w14:textId="77777777" w:rsidR="006D6ABE" w:rsidRDefault="006D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026185"/>
      <w:docPartObj>
        <w:docPartGallery w:val="Page Numbers (Bottom of Page)"/>
        <w:docPartUnique/>
      </w:docPartObj>
    </w:sdtPr>
    <w:sdtEndPr/>
    <w:sdtContent>
      <w:p w14:paraId="0B8BAB12" w14:textId="77777777" w:rsidR="00450B43" w:rsidRDefault="00450B43">
        <w:pPr>
          <w:pStyle w:val="Rodap"/>
          <w:jc w:val="right"/>
        </w:pPr>
        <w:r w:rsidRPr="00450B43">
          <w:rPr>
            <w:sz w:val="16"/>
            <w:szCs w:val="16"/>
          </w:rPr>
          <w:fldChar w:fldCharType="begin"/>
        </w:r>
        <w:r w:rsidRPr="00450B43">
          <w:rPr>
            <w:sz w:val="16"/>
            <w:szCs w:val="16"/>
          </w:rPr>
          <w:instrText>PAGE   \* MERGEFORMAT</w:instrText>
        </w:r>
        <w:r w:rsidRPr="00450B43">
          <w:rPr>
            <w:sz w:val="16"/>
            <w:szCs w:val="16"/>
          </w:rPr>
          <w:fldChar w:fldCharType="separate"/>
        </w:r>
        <w:r w:rsidRPr="00450B43">
          <w:rPr>
            <w:sz w:val="16"/>
            <w:szCs w:val="16"/>
          </w:rPr>
          <w:t>2</w:t>
        </w:r>
        <w:r w:rsidRPr="00450B43">
          <w:rPr>
            <w:sz w:val="16"/>
            <w:szCs w:val="16"/>
          </w:rPr>
          <w:fldChar w:fldCharType="end"/>
        </w:r>
      </w:p>
    </w:sdtContent>
  </w:sdt>
  <w:p w14:paraId="082E7B6D" w14:textId="77777777" w:rsidR="00F02F0A" w:rsidRDefault="00F02F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3CCA9" w14:textId="77777777" w:rsidR="006D6ABE" w:rsidRDefault="006D6ABE">
      <w:pPr>
        <w:spacing w:after="0" w:line="240" w:lineRule="auto"/>
      </w:pPr>
      <w:r>
        <w:separator/>
      </w:r>
    </w:p>
  </w:footnote>
  <w:footnote w:type="continuationSeparator" w:id="0">
    <w:p w14:paraId="2173E599" w14:textId="77777777" w:rsidR="006D6ABE" w:rsidRDefault="006D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1B94" w14:textId="77777777" w:rsidR="00F02F0A" w:rsidRDefault="00B30F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324DACE" wp14:editId="37EAB39A">
          <wp:simplePos x="0" y="0"/>
          <wp:positionH relativeFrom="page">
            <wp:posOffset>11430</wp:posOffset>
          </wp:positionH>
          <wp:positionV relativeFrom="page">
            <wp:posOffset>6985</wp:posOffset>
          </wp:positionV>
          <wp:extent cx="7549515" cy="302768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302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6D57B" w14:textId="77777777" w:rsidR="00F02F0A" w:rsidRDefault="00F02F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spacing w:after="0" w:line="240" w:lineRule="auto"/>
      <w:rPr>
        <w:color w:val="000000"/>
      </w:rPr>
    </w:pPr>
  </w:p>
  <w:p w14:paraId="0B18ABED" w14:textId="77777777" w:rsidR="00F02F0A" w:rsidRDefault="00B30F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spacing w:after="0" w:line="240" w:lineRule="auto"/>
      <w:rPr>
        <w:color w:val="000000"/>
      </w:rPr>
    </w:pPr>
    <w:r w:rsidRPr="002C0416">
      <w:rPr>
        <w:noProof/>
        <w:color w:val="000000"/>
      </w:rPr>
      <w:drawing>
        <wp:inline distT="0" distB="0" distL="0" distR="0" wp14:anchorId="41F8FF94" wp14:editId="08719913">
          <wp:extent cx="1938020" cy="1043940"/>
          <wp:effectExtent l="0" t="0" r="0" b="0"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84736" w14:textId="77777777" w:rsidR="00F02F0A" w:rsidRDefault="00F02F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spacing w:after="0" w:line="240" w:lineRule="auto"/>
      <w:rPr>
        <w:color w:val="000000"/>
      </w:rPr>
    </w:pPr>
  </w:p>
  <w:p w14:paraId="2320D197" w14:textId="77777777" w:rsidR="00F02F0A" w:rsidRDefault="00F02F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93"/>
      </w:tabs>
      <w:spacing w:after="0" w:line="240" w:lineRule="auto"/>
      <w:rPr>
        <w:color w:val="000000"/>
      </w:rPr>
    </w:pPr>
  </w:p>
  <w:p w14:paraId="3D1541B5" w14:textId="77777777" w:rsidR="00F02F0A" w:rsidRDefault="00F02F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0A"/>
    <w:rsid w:val="00006219"/>
    <w:rsid w:val="00035A62"/>
    <w:rsid w:val="00043B2D"/>
    <w:rsid w:val="00050D11"/>
    <w:rsid w:val="00050F61"/>
    <w:rsid w:val="00066F3A"/>
    <w:rsid w:val="00073E04"/>
    <w:rsid w:val="000A0FA9"/>
    <w:rsid w:val="000B7F99"/>
    <w:rsid w:val="000D3352"/>
    <w:rsid w:val="000F13A2"/>
    <w:rsid w:val="000F4E92"/>
    <w:rsid w:val="00111C69"/>
    <w:rsid w:val="00123633"/>
    <w:rsid w:val="001422DC"/>
    <w:rsid w:val="0015023E"/>
    <w:rsid w:val="001A3D57"/>
    <w:rsid w:val="001C297E"/>
    <w:rsid w:val="001C49AE"/>
    <w:rsid w:val="00210CF9"/>
    <w:rsid w:val="002147C4"/>
    <w:rsid w:val="00232253"/>
    <w:rsid w:val="00242CB5"/>
    <w:rsid w:val="00250A83"/>
    <w:rsid w:val="00257F63"/>
    <w:rsid w:val="00283D4A"/>
    <w:rsid w:val="00285E84"/>
    <w:rsid w:val="002908AB"/>
    <w:rsid w:val="002A341D"/>
    <w:rsid w:val="002A4E3B"/>
    <w:rsid w:val="002C0416"/>
    <w:rsid w:val="002D7D44"/>
    <w:rsid w:val="002E1A5D"/>
    <w:rsid w:val="002E57D2"/>
    <w:rsid w:val="002F0D32"/>
    <w:rsid w:val="002F0E3F"/>
    <w:rsid w:val="002F31A2"/>
    <w:rsid w:val="00312F64"/>
    <w:rsid w:val="0031519E"/>
    <w:rsid w:val="0031545F"/>
    <w:rsid w:val="0031643A"/>
    <w:rsid w:val="003169DB"/>
    <w:rsid w:val="003177E2"/>
    <w:rsid w:val="003204A5"/>
    <w:rsid w:val="003270A2"/>
    <w:rsid w:val="003422FA"/>
    <w:rsid w:val="003527F9"/>
    <w:rsid w:val="00360A94"/>
    <w:rsid w:val="00362F1D"/>
    <w:rsid w:val="00393BC5"/>
    <w:rsid w:val="003A23D2"/>
    <w:rsid w:val="003B5EF1"/>
    <w:rsid w:val="003B75BD"/>
    <w:rsid w:val="003B77A3"/>
    <w:rsid w:val="003E40AF"/>
    <w:rsid w:val="003E518F"/>
    <w:rsid w:val="00405586"/>
    <w:rsid w:val="00406B0B"/>
    <w:rsid w:val="00415C61"/>
    <w:rsid w:val="00426663"/>
    <w:rsid w:val="00450B43"/>
    <w:rsid w:val="00451EB7"/>
    <w:rsid w:val="004A515C"/>
    <w:rsid w:val="004D64BC"/>
    <w:rsid w:val="00514B52"/>
    <w:rsid w:val="00526412"/>
    <w:rsid w:val="005334F1"/>
    <w:rsid w:val="00542681"/>
    <w:rsid w:val="00547C17"/>
    <w:rsid w:val="005512F7"/>
    <w:rsid w:val="005546D1"/>
    <w:rsid w:val="00583A13"/>
    <w:rsid w:val="005B4EF6"/>
    <w:rsid w:val="005B554E"/>
    <w:rsid w:val="005B76E5"/>
    <w:rsid w:val="005D4060"/>
    <w:rsid w:val="005E62DC"/>
    <w:rsid w:val="00602085"/>
    <w:rsid w:val="00634708"/>
    <w:rsid w:val="0063676F"/>
    <w:rsid w:val="00636F58"/>
    <w:rsid w:val="006616A1"/>
    <w:rsid w:val="00666B58"/>
    <w:rsid w:val="00675030"/>
    <w:rsid w:val="00685CE2"/>
    <w:rsid w:val="00696CFD"/>
    <w:rsid w:val="006A06C3"/>
    <w:rsid w:val="006A5E72"/>
    <w:rsid w:val="006D6ABE"/>
    <w:rsid w:val="006D7903"/>
    <w:rsid w:val="006E6B71"/>
    <w:rsid w:val="0070502F"/>
    <w:rsid w:val="0071354C"/>
    <w:rsid w:val="00730033"/>
    <w:rsid w:val="0076420A"/>
    <w:rsid w:val="0076703F"/>
    <w:rsid w:val="00782176"/>
    <w:rsid w:val="007900AE"/>
    <w:rsid w:val="00793267"/>
    <w:rsid w:val="00797BAD"/>
    <w:rsid w:val="007A1980"/>
    <w:rsid w:val="007A6CF1"/>
    <w:rsid w:val="007B6ED5"/>
    <w:rsid w:val="007C4FF1"/>
    <w:rsid w:val="007E6B59"/>
    <w:rsid w:val="007F2E4F"/>
    <w:rsid w:val="007F784A"/>
    <w:rsid w:val="008104CF"/>
    <w:rsid w:val="00810A17"/>
    <w:rsid w:val="008157B4"/>
    <w:rsid w:val="00842378"/>
    <w:rsid w:val="008612B4"/>
    <w:rsid w:val="00861B17"/>
    <w:rsid w:val="00863666"/>
    <w:rsid w:val="00866FFA"/>
    <w:rsid w:val="0087449B"/>
    <w:rsid w:val="00880D84"/>
    <w:rsid w:val="008A18E1"/>
    <w:rsid w:val="008A29F7"/>
    <w:rsid w:val="008B0B08"/>
    <w:rsid w:val="008B5A65"/>
    <w:rsid w:val="008C3D7C"/>
    <w:rsid w:val="008C70B4"/>
    <w:rsid w:val="008D18E0"/>
    <w:rsid w:val="008D6173"/>
    <w:rsid w:val="008F2830"/>
    <w:rsid w:val="008F39CE"/>
    <w:rsid w:val="009104A9"/>
    <w:rsid w:val="00932A69"/>
    <w:rsid w:val="00933C34"/>
    <w:rsid w:val="009560A3"/>
    <w:rsid w:val="00961F47"/>
    <w:rsid w:val="00977E75"/>
    <w:rsid w:val="00991D08"/>
    <w:rsid w:val="0099397C"/>
    <w:rsid w:val="009944FB"/>
    <w:rsid w:val="009A363D"/>
    <w:rsid w:val="009A4FF3"/>
    <w:rsid w:val="009A6406"/>
    <w:rsid w:val="009B350A"/>
    <w:rsid w:val="009B6613"/>
    <w:rsid w:val="009D1305"/>
    <w:rsid w:val="009D57D2"/>
    <w:rsid w:val="009E32BC"/>
    <w:rsid w:val="009E3BB6"/>
    <w:rsid w:val="009F0729"/>
    <w:rsid w:val="009F208E"/>
    <w:rsid w:val="00A004BE"/>
    <w:rsid w:val="00A107DF"/>
    <w:rsid w:val="00A1516B"/>
    <w:rsid w:val="00A21A61"/>
    <w:rsid w:val="00A27A84"/>
    <w:rsid w:val="00A47C33"/>
    <w:rsid w:val="00A75D33"/>
    <w:rsid w:val="00A82BA0"/>
    <w:rsid w:val="00AA1EC4"/>
    <w:rsid w:val="00AB27D6"/>
    <w:rsid w:val="00AB2C82"/>
    <w:rsid w:val="00AD273C"/>
    <w:rsid w:val="00AD3C5E"/>
    <w:rsid w:val="00AE0B13"/>
    <w:rsid w:val="00AE191A"/>
    <w:rsid w:val="00AE4898"/>
    <w:rsid w:val="00B155F3"/>
    <w:rsid w:val="00B163BC"/>
    <w:rsid w:val="00B16CAE"/>
    <w:rsid w:val="00B16E5B"/>
    <w:rsid w:val="00B27842"/>
    <w:rsid w:val="00B30FF7"/>
    <w:rsid w:val="00B7400F"/>
    <w:rsid w:val="00B7774F"/>
    <w:rsid w:val="00B813D7"/>
    <w:rsid w:val="00B8713C"/>
    <w:rsid w:val="00B91164"/>
    <w:rsid w:val="00B93360"/>
    <w:rsid w:val="00B97D1E"/>
    <w:rsid w:val="00BA6CF7"/>
    <w:rsid w:val="00BC4DE1"/>
    <w:rsid w:val="00BF5549"/>
    <w:rsid w:val="00C016CA"/>
    <w:rsid w:val="00C05660"/>
    <w:rsid w:val="00C43DCA"/>
    <w:rsid w:val="00C46248"/>
    <w:rsid w:val="00C850D1"/>
    <w:rsid w:val="00C87423"/>
    <w:rsid w:val="00CA63CC"/>
    <w:rsid w:val="00CB0356"/>
    <w:rsid w:val="00CB0D39"/>
    <w:rsid w:val="00CB1522"/>
    <w:rsid w:val="00CB32F1"/>
    <w:rsid w:val="00CB4FB4"/>
    <w:rsid w:val="00CC1AF7"/>
    <w:rsid w:val="00CD3D61"/>
    <w:rsid w:val="00CE4148"/>
    <w:rsid w:val="00CF0195"/>
    <w:rsid w:val="00CF687B"/>
    <w:rsid w:val="00CF6AAC"/>
    <w:rsid w:val="00D101F7"/>
    <w:rsid w:val="00D609EC"/>
    <w:rsid w:val="00D629C5"/>
    <w:rsid w:val="00D63B7D"/>
    <w:rsid w:val="00D73CA5"/>
    <w:rsid w:val="00D77415"/>
    <w:rsid w:val="00D77883"/>
    <w:rsid w:val="00D85651"/>
    <w:rsid w:val="00D976A6"/>
    <w:rsid w:val="00DA7225"/>
    <w:rsid w:val="00DC3275"/>
    <w:rsid w:val="00DD09B9"/>
    <w:rsid w:val="00DD6F4B"/>
    <w:rsid w:val="00DE49E3"/>
    <w:rsid w:val="00DF1A16"/>
    <w:rsid w:val="00E107F1"/>
    <w:rsid w:val="00E17994"/>
    <w:rsid w:val="00E21C1B"/>
    <w:rsid w:val="00E31845"/>
    <w:rsid w:val="00E733BE"/>
    <w:rsid w:val="00E761B0"/>
    <w:rsid w:val="00EA20F3"/>
    <w:rsid w:val="00EB57AD"/>
    <w:rsid w:val="00ED33E7"/>
    <w:rsid w:val="00F00084"/>
    <w:rsid w:val="00F02F0A"/>
    <w:rsid w:val="00F033AC"/>
    <w:rsid w:val="00F049EB"/>
    <w:rsid w:val="00F1059A"/>
    <w:rsid w:val="00F2734F"/>
    <w:rsid w:val="00F30659"/>
    <w:rsid w:val="00F370FD"/>
    <w:rsid w:val="00F86246"/>
    <w:rsid w:val="00F925AA"/>
    <w:rsid w:val="00F9383F"/>
    <w:rsid w:val="00FA1AAB"/>
    <w:rsid w:val="00FA78CA"/>
    <w:rsid w:val="00FB0143"/>
    <w:rsid w:val="00FB0702"/>
    <w:rsid w:val="00FD173D"/>
    <w:rsid w:val="00FD4D92"/>
    <w:rsid w:val="00FD60DB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502528"/>
  <w15:docId w15:val="{9CC7FB2B-FC06-41C3-A3E9-D4C1BAC9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uiPriority w:val="22"/>
    <w:qFormat/>
    <w:rsid w:val="00583A13"/>
    <w:rPr>
      <w:b/>
      <w:bCs/>
    </w:rPr>
  </w:style>
  <w:style w:type="character" w:styleId="Hyperlink">
    <w:name w:val="Hyperlink"/>
    <w:uiPriority w:val="99"/>
    <w:unhideWhenUsed/>
    <w:rsid w:val="00583A1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B7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6E5"/>
  </w:style>
  <w:style w:type="paragraph" w:styleId="Rodap">
    <w:name w:val="footer"/>
    <w:basedOn w:val="Normal"/>
    <w:link w:val="RodapChar"/>
    <w:uiPriority w:val="99"/>
    <w:unhideWhenUsed/>
    <w:rsid w:val="005B7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6E5"/>
  </w:style>
  <w:style w:type="character" w:styleId="HiperlinkVisitado">
    <w:name w:val="FollowedHyperlink"/>
    <w:uiPriority w:val="99"/>
    <w:semiHidden/>
    <w:unhideWhenUsed/>
    <w:rsid w:val="00782176"/>
    <w:rPr>
      <w:color w:val="800080"/>
      <w:u w:val="single"/>
    </w:rPr>
  </w:style>
  <w:style w:type="character" w:styleId="MenoPendente">
    <w:name w:val="Unresolved Mention"/>
    <w:uiPriority w:val="99"/>
    <w:semiHidden/>
    <w:unhideWhenUsed/>
    <w:rsid w:val="0054268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80D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mre/pt-br/canais_atendimento/imprensa/notas-a-imprensa/declaracao-conjunta-por-ocasiao-da-visita-de-estado-do-presidente-luiz-inacio-lula-da-silva-a-pequim-12-e-13-de-maio-de-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2128</Words>
  <Characters>11496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Sora Malheiros</dc:creator>
  <cp:keywords/>
  <cp:lastModifiedBy>Glauco Sora Malheiros</cp:lastModifiedBy>
  <cp:revision>14</cp:revision>
  <cp:lastPrinted>2025-10-07T20:58:00Z</cp:lastPrinted>
  <dcterms:created xsi:type="dcterms:W3CDTF">2025-10-06T22:45:00Z</dcterms:created>
  <dcterms:modified xsi:type="dcterms:W3CDTF">2025-10-07T21:00:00Z</dcterms:modified>
</cp:coreProperties>
</file>