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23/05/2023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10:00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discutir a nova proposta de Instrução Normativa, a fim de  elucidar questões atinentes ao processo disciplinar junto ao Conselho de Ética e Decoro Parlamentar.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19/05/2023.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20 e 23/05/2023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