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Relações Internacionais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27/06/2023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22/06/2023.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Maurici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26 e 27/06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