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Administração Pública e Relações do Trabalho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27/09/2023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25/09/2023.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Solange Freitas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26 e 27/09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