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13/12/2023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016C6E">
        <w:rPr>
          <w:rFonts w:ascii="Arial" w:hAnsi="Arial" w:cs="Arial"/>
          <w:sz w:val="24"/>
          <w:szCs w:val="24"/>
          <w:lang w:eastAsia="pt-BR"/>
        </w:rPr>
        <w:t>nos horários abaixo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7A6A03">
        <w:rPr>
          <w:rFonts w:ascii="Arial" w:hAnsi="Arial" w:cs="Arial"/>
          <w:sz w:val="24"/>
          <w:szCs w:val="24"/>
          <w:lang w:eastAsia="pt-BR"/>
        </w:rPr>
        <w:t xml:space="preserve">apreciar 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o RGL 11443/23, que trata do Balanço Geral do Estado acompanhado do Relatório sobre as contas do exercício financeiro de 2022 e </w:t>
      </w:r>
      <w:r w:rsidR="007A6A03">
        <w:rPr>
          <w:rFonts w:ascii="Arial" w:hAnsi="Arial" w:cs="Arial"/>
          <w:sz w:val="24"/>
          <w:szCs w:val="24"/>
          <w:lang w:eastAsia="pt-BR"/>
        </w:rPr>
        <w:t xml:space="preserve">o </w:t>
      </w:r>
      <w:r w:rsidRPr="009924C3">
        <w:rPr>
          <w:rFonts w:ascii="Arial" w:hAnsi="Arial" w:cs="Arial"/>
          <w:sz w:val="24"/>
          <w:szCs w:val="24"/>
          <w:lang w:eastAsia="pt-BR"/>
        </w:rPr>
        <w:t>PL  1449/2023, que Orça a Receita e fixa a Despesa do Estado para o exercício de 2024.</w:t>
      </w:r>
    </w:p>
    <w:p w:rsidR="00016C6E" w:rsidRDefault="00016C6E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16C6E" w:rsidRDefault="00016C6E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- 10:00</w:t>
      </w:r>
    </w:p>
    <w:p w:rsidR="00016C6E" w:rsidRDefault="00016C6E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t-BR"/>
        </w:rPr>
        <w:t>10:16</w:t>
      </w:r>
    </w:p>
    <w:p w:rsidR="00016C6E" w:rsidRPr="009924C3" w:rsidRDefault="00016C6E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- 10:32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11/12/2023.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12 e 13/12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16C6E"/>
    <w:rsid w:val="000976BA"/>
    <w:rsid w:val="0038656D"/>
    <w:rsid w:val="00551EB1"/>
    <w:rsid w:val="0064347F"/>
    <w:rsid w:val="007A6A03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F30F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2023-12-11T21:02:00Z</dcterms:created>
  <dcterms:modified xsi:type="dcterms:W3CDTF">2023-12-11T21:02:00Z</dcterms:modified>
</cp:coreProperties>
</file>